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7F" w:rsidRDefault="006B1C0A">
      <w:pPr>
        <w:pStyle w:val="1"/>
        <w:jc w:val="center"/>
        <w:rPr>
          <w:rFonts w:ascii="宋体" w:hAnsi="宋体" w:cs="宋体"/>
          <w:b w:val="0"/>
          <w:color w:val="000000" w:themeColor="text1"/>
          <w:sz w:val="36"/>
        </w:rPr>
      </w:pPr>
      <w:r>
        <w:rPr>
          <w:rFonts w:ascii="宋体" w:hAnsi="宋体" w:cs="宋体" w:hint="eastAsia"/>
          <w:color w:val="000000" w:themeColor="text1"/>
          <w:sz w:val="36"/>
        </w:rPr>
        <w:t>第七章   评标方法与标准</w:t>
      </w:r>
    </w:p>
    <w:p w:rsidR="00A0077F" w:rsidRDefault="006B1C0A">
      <w:pPr>
        <w:pStyle w:val="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 评分标准</w:t>
      </w:r>
    </w:p>
    <w:p w:rsidR="00A0077F" w:rsidRDefault="006B1C0A">
      <w:pPr>
        <w:pStyle w:val="3"/>
        <w:rPr>
          <w:rFonts w:ascii="宋体" w:hAnsi="宋体" w:cs="宋体"/>
          <w:b w:val="0"/>
          <w:color w:val="000000" w:themeColor="text1"/>
          <w:sz w:val="21"/>
          <w:szCs w:val="21"/>
        </w:rPr>
      </w:pPr>
      <w:r>
        <w:rPr>
          <w:rFonts w:ascii="宋体" w:hAnsi="宋体" w:cs="宋体" w:hint="eastAsia"/>
          <w:color w:val="000000" w:themeColor="text1"/>
          <w:sz w:val="21"/>
          <w:szCs w:val="21"/>
        </w:rPr>
        <w:t>3.2.1 商务部分：</w:t>
      </w:r>
      <w:r w:rsidRPr="00631C0E">
        <w:rPr>
          <w:rFonts w:ascii="宋体" w:hAnsi="宋体" w:cs="宋体" w:hint="eastAsia"/>
          <w:sz w:val="21"/>
          <w:szCs w:val="21"/>
        </w:rPr>
        <w:t>总分值</w:t>
      </w:r>
      <w:r w:rsidR="00121E78" w:rsidRPr="00631C0E">
        <w:rPr>
          <w:rFonts w:ascii="宋体" w:hAnsi="宋体" w:cs="宋体"/>
          <w:sz w:val="21"/>
          <w:szCs w:val="21"/>
        </w:rPr>
        <w:t>60</w:t>
      </w:r>
      <w:r w:rsidRPr="00631C0E">
        <w:rPr>
          <w:rFonts w:ascii="宋体" w:hAnsi="宋体" w:cs="宋体" w:hint="eastAsia"/>
          <w:sz w:val="21"/>
          <w:szCs w:val="21"/>
        </w:rPr>
        <w:t>分</w:t>
      </w:r>
    </w:p>
    <w:p w:rsidR="00A0077F" w:rsidRDefault="006B1C0A">
      <w:pPr>
        <w:spacing w:line="360" w:lineRule="auto"/>
        <w:ind w:firstLineChars="100" w:firstLine="211"/>
        <w:rPr>
          <w:rFonts w:ascii="宋体" w:hAnsi="宋体" w:cs="宋体"/>
          <w:b/>
          <w:color w:val="000000" w:themeColor="text1"/>
          <w:sz w:val="21"/>
          <w:szCs w:val="21"/>
        </w:rPr>
      </w:pPr>
      <w:r>
        <w:rPr>
          <w:rFonts w:ascii="宋体" w:hAnsi="宋体" w:cs="宋体" w:hint="eastAsia"/>
          <w:b/>
          <w:color w:val="000000" w:themeColor="text1"/>
          <w:sz w:val="21"/>
          <w:szCs w:val="21"/>
        </w:rPr>
        <w:t>3.2.1.1价格分：总分值30分</w:t>
      </w:r>
    </w:p>
    <w:p w:rsidR="00A0077F" w:rsidRDefault="006B1C0A">
      <w:pPr>
        <w:spacing w:line="360" w:lineRule="auto"/>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1）价格分以投标报价为基础，评委如果发现投标报价存在计算或表述上错误，则将按下列原则进行修改：</w:t>
      </w:r>
    </w:p>
    <w:p w:rsidR="00A0077F" w:rsidRDefault="006B1C0A">
      <w:pPr>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a)</w:t>
      </w:r>
      <w:r>
        <w:rPr>
          <w:rFonts w:ascii="宋体" w:hAnsi="宋体" w:cs="宋体" w:hint="eastAsia"/>
          <w:color w:val="000000" w:themeColor="text1"/>
          <w:sz w:val="21"/>
          <w:szCs w:val="21"/>
        </w:rPr>
        <w:tab/>
        <w:t>如果用数字表示的金额与用文字表示的金额不一致，将以文字表示的金额为准。</w:t>
      </w:r>
    </w:p>
    <w:p w:rsidR="00A0077F" w:rsidRDefault="006B1C0A">
      <w:pPr>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b)</w:t>
      </w:r>
      <w:r>
        <w:rPr>
          <w:rFonts w:ascii="宋体" w:hAnsi="宋体" w:cs="宋体" w:hint="eastAsia"/>
          <w:color w:val="000000" w:themeColor="text1"/>
          <w:sz w:val="21"/>
          <w:szCs w:val="21"/>
        </w:rPr>
        <w:tab/>
        <w:t>当单价与数量的乘积与合价不符时，将以单价与数量的乘积为准。</w:t>
      </w:r>
    </w:p>
    <w:p w:rsidR="00A0077F" w:rsidRDefault="006B1C0A">
      <w:pPr>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c)</w:t>
      </w:r>
      <w:r>
        <w:rPr>
          <w:rFonts w:ascii="宋体" w:hAnsi="宋体" w:cs="宋体" w:hint="eastAsia"/>
          <w:color w:val="000000" w:themeColor="text1"/>
          <w:sz w:val="21"/>
          <w:szCs w:val="21"/>
        </w:rPr>
        <w:tab/>
        <w:t>分项合价之和与总价不符时，将以分项合价之和为准。</w:t>
      </w:r>
    </w:p>
    <w:p w:rsidR="00A0077F" w:rsidRDefault="006B1C0A">
      <w:pPr>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d)</w:t>
      </w:r>
      <w:r>
        <w:rPr>
          <w:rFonts w:ascii="宋体" w:hAnsi="宋体" w:cs="宋体" w:hint="eastAsia"/>
          <w:color w:val="000000" w:themeColor="text1"/>
          <w:sz w:val="21"/>
          <w:szCs w:val="21"/>
        </w:rPr>
        <w:tab/>
        <w:t>评标委员会将按上述修正错误的方法调整投标文件中的投标报价，调整后的价格应对投标人具有约束力。如果投标人不接受调整后的价格，则其投标将被拒绝。</w:t>
      </w:r>
    </w:p>
    <w:p w:rsidR="00A0077F" w:rsidRDefault="006B1C0A">
      <w:pPr>
        <w:spacing w:line="360" w:lineRule="auto"/>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2）投标报价中不得包含招标文件要求以外的产品或服务，否则，在评标时不予核减；</w:t>
      </w:r>
    </w:p>
    <w:p w:rsidR="00A0077F" w:rsidRDefault="006B1C0A">
      <w:pPr>
        <w:spacing w:line="360" w:lineRule="auto"/>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3）投标人报价如发生漏项且投标文件中未作报价，则将以其他投标人报价中该项价格中的最高价加进该投标人的投标总价，经补正、量化后的投标价为经评审的投标价（即评标价），仅作评标之用。</w:t>
      </w:r>
    </w:p>
    <w:p w:rsidR="00A0077F" w:rsidRDefault="006B1C0A">
      <w:pPr>
        <w:spacing w:line="360" w:lineRule="auto"/>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4）价格评分：（30分）</w:t>
      </w:r>
    </w:p>
    <w:p w:rsidR="00A0077F" w:rsidRDefault="006B1C0A">
      <w:pPr>
        <w:spacing w:line="360" w:lineRule="auto"/>
        <w:ind w:firstLineChars="100" w:firstLine="211"/>
        <w:rPr>
          <w:rFonts w:ascii="宋体" w:hAnsi="宋体" w:cs="宋体"/>
          <w:b/>
          <w:color w:val="000000" w:themeColor="text1"/>
          <w:sz w:val="21"/>
          <w:szCs w:val="21"/>
        </w:rPr>
      </w:pPr>
      <w:r>
        <w:rPr>
          <w:rFonts w:ascii="宋体" w:hAnsi="宋体" w:cs="宋体" w:hint="eastAsia"/>
          <w:b/>
          <w:color w:val="000000" w:themeColor="text1"/>
          <w:sz w:val="21"/>
          <w:szCs w:val="21"/>
        </w:rPr>
        <w:t>若有效投标人≥5个，则全部有效投标人的投标报价（指评标价，下同）扣除一个最高价和一个最低价后的算术平均值为价格评审基准值；若有效投标人〈5个，则全部有效投标人的投标报价的算术平均值为价格评审基准值。</w:t>
      </w:r>
    </w:p>
    <w:p w:rsidR="00A0077F" w:rsidRDefault="006B1C0A">
      <w:pPr>
        <w:spacing w:line="360" w:lineRule="auto"/>
        <w:ind w:firstLineChars="100" w:firstLine="211"/>
        <w:rPr>
          <w:rFonts w:ascii="宋体" w:hAnsi="宋体" w:cs="宋体"/>
          <w:b/>
          <w:color w:val="000000" w:themeColor="text1"/>
          <w:sz w:val="21"/>
          <w:szCs w:val="21"/>
        </w:rPr>
      </w:pPr>
      <w:r>
        <w:rPr>
          <w:rFonts w:ascii="宋体" w:hAnsi="宋体" w:cs="宋体" w:hint="eastAsia"/>
          <w:b/>
          <w:color w:val="000000" w:themeColor="text1"/>
          <w:sz w:val="21"/>
          <w:szCs w:val="21"/>
        </w:rPr>
        <w:t>各单位的评标价在此基准线的得30分，最终报价相对基准值每上偏3%扣1分，每下偏3%扣0.5分，最低扣至20分，偏差不足1%时按线性内插法计算。</w:t>
      </w:r>
    </w:p>
    <w:p w:rsidR="00A0077F" w:rsidRDefault="00A0077F">
      <w:pPr>
        <w:spacing w:line="360" w:lineRule="auto"/>
        <w:ind w:firstLineChars="100" w:firstLine="211"/>
        <w:rPr>
          <w:rFonts w:ascii="宋体" w:hAnsi="宋体" w:cs="宋体"/>
          <w:b/>
          <w:color w:val="000000" w:themeColor="text1"/>
          <w:sz w:val="21"/>
          <w:szCs w:val="21"/>
        </w:rPr>
      </w:pPr>
    </w:p>
    <w:p w:rsidR="00A0077F" w:rsidRDefault="006B1C0A">
      <w:pPr>
        <w:spacing w:line="360" w:lineRule="auto"/>
        <w:ind w:firstLineChars="100" w:firstLine="211"/>
        <w:rPr>
          <w:rFonts w:ascii="宋体" w:hAnsi="宋体" w:cs="宋体"/>
          <w:b/>
          <w:color w:val="000000" w:themeColor="text1"/>
          <w:sz w:val="21"/>
          <w:szCs w:val="21"/>
        </w:rPr>
      </w:pPr>
      <w:r>
        <w:rPr>
          <w:rFonts w:ascii="宋体" w:hAnsi="宋体" w:cs="宋体" w:hint="eastAsia"/>
          <w:b/>
          <w:color w:val="000000" w:themeColor="text1"/>
          <w:sz w:val="21"/>
          <w:szCs w:val="21"/>
        </w:rPr>
        <w:t>3.2.1.2企业综合实力业绩分：总分值30分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1261"/>
        <w:gridCol w:w="5316"/>
        <w:gridCol w:w="736"/>
      </w:tblGrid>
      <w:tr w:rsidR="00A0077F">
        <w:trPr>
          <w:trHeight w:val="538"/>
          <w:jc w:val="center"/>
        </w:trPr>
        <w:tc>
          <w:tcPr>
            <w:tcW w:w="1449" w:type="pct"/>
            <w:gridSpan w:val="2"/>
            <w:vAlign w:val="center"/>
          </w:tcPr>
          <w:p w:rsidR="00A0077F" w:rsidRDefault="006B1C0A">
            <w:pPr>
              <w:spacing w:line="276" w:lineRule="auto"/>
              <w:jc w:val="center"/>
              <w:rPr>
                <w:rFonts w:ascii="宋体" w:hAnsi="宋体" w:cs="宋体"/>
                <w:b/>
                <w:snapToGrid w:val="0"/>
                <w:color w:val="000000" w:themeColor="text1"/>
                <w:sz w:val="21"/>
                <w:szCs w:val="16"/>
              </w:rPr>
            </w:pPr>
            <w:r>
              <w:rPr>
                <w:rFonts w:ascii="宋体" w:hAnsi="宋体" w:cs="宋体" w:hint="eastAsia"/>
                <w:b/>
                <w:color w:val="000000" w:themeColor="text1"/>
                <w:sz w:val="21"/>
                <w:szCs w:val="16"/>
              </w:rPr>
              <w:t>评分项目及分值</w:t>
            </w:r>
          </w:p>
        </w:tc>
        <w:tc>
          <w:tcPr>
            <w:tcW w:w="3119" w:type="pct"/>
            <w:vAlign w:val="center"/>
          </w:tcPr>
          <w:p w:rsidR="00A0077F" w:rsidRDefault="006B1C0A">
            <w:pPr>
              <w:spacing w:line="276" w:lineRule="auto"/>
              <w:jc w:val="center"/>
              <w:rPr>
                <w:rFonts w:ascii="宋体" w:hAnsi="宋体" w:cs="宋体"/>
                <w:b/>
                <w:snapToGrid w:val="0"/>
                <w:color w:val="000000" w:themeColor="text1"/>
                <w:sz w:val="21"/>
                <w:szCs w:val="16"/>
              </w:rPr>
            </w:pPr>
            <w:r>
              <w:rPr>
                <w:rFonts w:ascii="宋体" w:hAnsi="宋体" w:cs="宋体" w:hint="eastAsia"/>
                <w:b/>
                <w:color w:val="000000" w:themeColor="text1"/>
                <w:sz w:val="21"/>
                <w:szCs w:val="16"/>
              </w:rPr>
              <w:t>评分细则</w:t>
            </w:r>
          </w:p>
        </w:tc>
        <w:tc>
          <w:tcPr>
            <w:tcW w:w="432" w:type="pct"/>
            <w:vAlign w:val="center"/>
          </w:tcPr>
          <w:p w:rsidR="00A0077F" w:rsidRDefault="006B1C0A">
            <w:pPr>
              <w:spacing w:line="276" w:lineRule="auto"/>
              <w:jc w:val="center"/>
              <w:rPr>
                <w:rFonts w:ascii="宋体" w:hAnsi="宋体" w:cs="宋体"/>
                <w:b/>
                <w:color w:val="000000" w:themeColor="text1"/>
                <w:sz w:val="21"/>
                <w:szCs w:val="16"/>
              </w:rPr>
            </w:pPr>
            <w:r>
              <w:rPr>
                <w:rFonts w:ascii="宋体" w:hAnsi="宋体" w:cs="宋体" w:hint="eastAsia"/>
                <w:b/>
                <w:color w:val="000000" w:themeColor="text1"/>
                <w:sz w:val="21"/>
                <w:szCs w:val="16"/>
              </w:rPr>
              <w:t>最高</w:t>
            </w:r>
          </w:p>
          <w:p w:rsidR="00A0077F" w:rsidRDefault="006B1C0A">
            <w:pPr>
              <w:spacing w:line="276" w:lineRule="auto"/>
              <w:jc w:val="center"/>
              <w:rPr>
                <w:rFonts w:ascii="宋体" w:hAnsi="宋体" w:cs="宋体"/>
                <w:b/>
                <w:snapToGrid w:val="0"/>
                <w:color w:val="000000" w:themeColor="text1"/>
                <w:sz w:val="21"/>
                <w:szCs w:val="16"/>
              </w:rPr>
            </w:pPr>
            <w:r>
              <w:rPr>
                <w:rFonts w:ascii="宋体" w:hAnsi="宋体" w:cs="宋体" w:hint="eastAsia"/>
                <w:b/>
                <w:color w:val="000000" w:themeColor="text1"/>
                <w:sz w:val="21"/>
                <w:szCs w:val="16"/>
              </w:rPr>
              <w:t>分值</w:t>
            </w:r>
          </w:p>
        </w:tc>
      </w:tr>
      <w:tr w:rsidR="00A0077F">
        <w:trPr>
          <w:trHeight w:val="752"/>
          <w:jc w:val="center"/>
        </w:trPr>
        <w:tc>
          <w:tcPr>
            <w:tcW w:w="709" w:type="pct"/>
            <w:vMerge w:val="restart"/>
            <w:vAlign w:val="center"/>
          </w:tcPr>
          <w:p w:rsidR="00A0077F" w:rsidRDefault="006B1C0A">
            <w:pPr>
              <w:pStyle w:val="a4"/>
              <w:spacing w:line="276" w:lineRule="auto"/>
              <w:ind w:firstLineChars="0" w:firstLine="0"/>
              <w:rPr>
                <w:rFonts w:ascii="宋体" w:hAnsi="宋体" w:cs="宋体"/>
                <w:bCs/>
                <w:color w:val="000000" w:themeColor="text1"/>
                <w:szCs w:val="16"/>
              </w:rPr>
            </w:pPr>
            <w:r>
              <w:rPr>
                <w:rFonts w:ascii="宋体" w:hAnsi="宋体" w:cs="宋体" w:hint="eastAsia"/>
                <w:bCs/>
                <w:color w:val="000000" w:themeColor="text1"/>
                <w:szCs w:val="16"/>
              </w:rPr>
              <w:t>商务部分（0-30）</w:t>
            </w:r>
          </w:p>
        </w:tc>
        <w:tc>
          <w:tcPr>
            <w:tcW w:w="740"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企业资质</w:t>
            </w:r>
          </w:p>
        </w:tc>
        <w:tc>
          <w:tcPr>
            <w:tcW w:w="3119" w:type="pct"/>
            <w:vAlign w:val="center"/>
          </w:tcPr>
          <w:p w:rsidR="00A0077F" w:rsidRPr="00CF7566" w:rsidRDefault="006B1C0A">
            <w:pPr>
              <w:pStyle w:val="TableParagraph"/>
              <w:spacing w:line="276" w:lineRule="auto"/>
              <w:ind w:leftChars="20" w:left="48" w:right="113"/>
              <w:rPr>
                <w:rFonts w:ascii="宋体" w:eastAsia="宋体" w:hAnsi="宋体" w:cs="宋体"/>
                <w:sz w:val="21"/>
                <w:szCs w:val="16"/>
              </w:rPr>
            </w:pPr>
            <w:r w:rsidRPr="00CF7566">
              <w:rPr>
                <w:rFonts w:ascii="宋体" w:eastAsia="宋体" w:hAnsi="宋体" w:cs="宋体" w:hint="eastAsia"/>
                <w:sz w:val="21"/>
                <w:szCs w:val="16"/>
              </w:rPr>
              <w:t>对投标人相关的</w:t>
            </w:r>
            <w:r w:rsidRPr="00CF7566">
              <w:rPr>
                <w:rFonts w:ascii="宋体" w:eastAsia="宋体" w:hAnsi="宋体" w:cs="宋体" w:hint="eastAsia"/>
                <w:sz w:val="21"/>
                <w:szCs w:val="16"/>
                <w:lang w:val="en-US"/>
              </w:rPr>
              <w:t>专业</w:t>
            </w:r>
            <w:r w:rsidRPr="00CF7566">
              <w:rPr>
                <w:rFonts w:ascii="宋体" w:eastAsia="宋体" w:hAnsi="宋体" w:cs="宋体" w:hint="eastAsia"/>
                <w:sz w:val="21"/>
                <w:szCs w:val="16"/>
              </w:rPr>
              <w:t>资质、证书等进行评分，</w:t>
            </w:r>
            <w:r w:rsidRPr="00CF7566">
              <w:rPr>
                <w:rFonts w:ascii="宋体" w:eastAsia="宋体" w:hAnsi="宋体" w:cs="宋体" w:hint="eastAsia"/>
                <w:sz w:val="21"/>
                <w:szCs w:val="16"/>
                <w:lang w:val="en-US"/>
              </w:rPr>
              <w:t>0-</w:t>
            </w:r>
            <w:r w:rsidR="0014234E" w:rsidRPr="00CF7566">
              <w:rPr>
                <w:rFonts w:ascii="宋体" w:eastAsia="宋体" w:hAnsi="宋体" w:cs="宋体" w:hint="eastAsia"/>
                <w:sz w:val="21"/>
                <w:szCs w:val="16"/>
                <w:lang w:val="en-US"/>
              </w:rPr>
              <w:t>8</w:t>
            </w:r>
            <w:r w:rsidRPr="00CF7566">
              <w:rPr>
                <w:rFonts w:ascii="宋体" w:eastAsia="宋体" w:hAnsi="宋体" w:cs="宋体" w:hint="eastAsia"/>
                <w:sz w:val="21"/>
                <w:szCs w:val="16"/>
                <w:lang w:val="en-US"/>
              </w:rPr>
              <w:t>分</w:t>
            </w:r>
          </w:p>
          <w:p w:rsidR="00A0077F" w:rsidRPr="00CF7566" w:rsidRDefault="006B1C0A">
            <w:pPr>
              <w:spacing w:line="276" w:lineRule="auto"/>
              <w:rPr>
                <w:rFonts w:ascii="宋体" w:hAnsi="宋体" w:cs="宋体"/>
                <w:sz w:val="21"/>
                <w:szCs w:val="16"/>
              </w:rPr>
            </w:pPr>
            <w:r w:rsidRPr="00CF7566">
              <w:rPr>
                <w:rFonts w:ascii="宋体" w:hAnsi="宋体" w:cs="宋体" w:hint="eastAsia"/>
                <w:sz w:val="21"/>
                <w:szCs w:val="16"/>
              </w:rPr>
              <w:t>需提供有效期内的资质证书复印件等有效证明材料，每项</w:t>
            </w:r>
            <w:r w:rsidR="0014234E" w:rsidRPr="00CF7566">
              <w:rPr>
                <w:rFonts w:ascii="宋体" w:hAnsi="宋体" w:cs="宋体" w:hint="eastAsia"/>
                <w:sz w:val="21"/>
                <w:szCs w:val="16"/>
              </w:rPr>
              <w:t>2</w:t>
            </w:r>
            <w:r w:rsidRPr="00CF7566">
              <w:rPr>
                <w:rFonts w:ascii="宋体" w:hAnsi="宋体" w:cs="宋体" w:hint="eastAsia"/>
                <w:sz w:val="21"/>
                <w:szCs w:val="16"/>
              </w:rPr>
              <w:t>分，否则不得分。</w:t>
            </w:r>
          </w:p>
          <w:p w:rsidR="0093238D" w:rsidRPr="00CF7566" w:rsidRDefault="00121E78" w:rsidP="00121E78">
            <w:pPr>
              <w:pStyle w:val="a0"/>
              <w:jc w:val="left"/>
              <w:rPr>
                <w:rFonts w:ascii="宋体" w:eastAsia="宋体" w:hAnsi="宋体"/>
                <w:b w:val="0"/>
                <w:bCs w:val="0"/>
                <w:sz w:val="21"/>
                <w:szCs w:val="21"/>
              </w:rPr>
            </w:pPr>
            <w:r w:rsidRPr="00CF7566">
              <w:rPr>
                <w:rFonts w:ascii="宋体" w:eastAsia="宋体" w:hAnsi="宋体" w:hint="eastAsia"/>
                <w:b w:val="0"/>
                <w:bCs w:val="0"/>
                <w:sz w:val="21"/>
                <w:szCs w:val="21"/>
              </w:rPr>
              <w:lastRenderedPageBreak/>
              <w:t>独立法人资格复印件</w:t>
            </w:r>
          </w:p>
          <w:p w:rsidR="0093238D" w:rsidRPr="00CF7566" w:rsidRDefault="0093238D" w:rsidP="00121E78">
            <w:pPr>
              <w:pStyle w:val="a0"/>
              <w:jc w:val="left"/>
              <w:rPr>
                <w:rFonts w:ascii="宋体" w:eastAsia="宋体" w:hAnsi="宋体"/>
                <w:b w:val="0"/>
                <w:bCs w:val="0"/>
                <w:sz w:val="21"/>
                <w:szCs w:val="21"/>
              </w:rPr>
            </w:pPr>
            <w:r w:rsidRPr="00CF7566">
              <w:rPr>
                <w:rFonts w:ascii="宋体" w:eastAsia="宋体" w:hAnsi="宋体" w:hint="eastAsia"/>
                <w:b w:val="0"/>
                <w:bCs w:val="0"/>
                <w:sz w:val="21"/>
                <w:szCs w:val="21"/>
              </w:rPr>
              <w:t>国家信息系统安全等级保护三级认证</w:t>
            </w:r>
          </w:p>
          <w:p w:rsidR="0093238D" w:rsidRPr="00CF7566" w:rsidRDefault="0093238D" w:rsidP="00121E78">
            <w:pPr>
              <w:pStyle w:val="a0"/>
              <w:jc w:val="left"/>
              <w:rPr>
                <w:rFonts w:ascii="宋体" w:eastAsia="宋体" w:hAnsi="宋体"/>
                <w:b w:val="0"/>
                <w:bCs w:val="0"/>
                <w:sz w:val="21"/>
                <w:szCs w:val="21"/>
              </w:rPr>
            </w:pPr>
            <w:r w:rsidRPr="00CF7566">
              <w:rPr>
                <w:rFonts w:ascii="宋体" w:eastAsia="宋体" w:hAnsi="宋体" w:hint="eastAsia"/>
                <w:b w:val="0"/>
                <w:bCs w:val="0"/>
                <w:sz w:val="21"/>
                <w:szCs w:val="21"/>
              </w:rPr>
              <w:t>上海市高新技术企业</w:t>
            </w:r>
          </w:p>
          <w:p w:rsidR="00121E78" w:rsidRPr="00CF7566" w:rsidRDefault="0093238D" w:rsidP="00121E78">
            <w:pPr>
              <w:pStyle w:val="a0"/>
              <w:jc w:val="left"/>
              <w:rPr>
                <w:rFonts w:ascii="宋体" w:eastAsia="宋体" w:hAnsi="宋体"/>
                <w:b w:val="0"/>
                <w:bCs w:val="0"/>
                <w:sz w:val="21"/>
                <w:szCs w:val="21"/>
              </w:rPr>
            </w:pPr>
            <w:r w:rsidRPr="00CF7566">
              <w:rPr>
                <w:rFonts w:ascii="宋体" w:eastAsia="宋体" w:hAnsi="宋体"/>
                <w:b w:val="0"/>
                <w:bCs w:val="0"/>
                <w:sz w:val="21"/>
                <w:szCs w:val="21"/>
              </w:rPr>
              <w:t>ISO</w:t>
            </w:r>
            <w:r w:rsidRPr="00CF7566">
              <w:rPr>
                <w:rFonts w:ascii="宋体" w:eastAsia="宋体" w:hAnsi="宋体" w:hint="eastAsia"/>
                <w:b w:val="0"/>
                <w:bCs w:val="0"/>
                <w:sz w:val="21"/>
                <w:szCs w:val="21"/>
              </w:rPr>
              <w:t>信息安全管理体系认证</w:t>
            </w:r>
          </w:p>
        </w:tc>
        <w:tc>
          <w:tcPr>
            <w:tcW w:w="432" w:type="pct"/>
            <w:vAlign w:val="center"/>
          </w:tcPr>
          <w:p w:rsidR="00A0077F" w:rsidRPr="00CF7566" w:rsidRDefault="006B1C0A" w:rsidP="0014234E">
            <w:pPr>
              <w:spacing w:line="276" w:lineRule="auto"/>
              <w:jc w:val="center"/>
              <w:rPr>
                <w:rFonts w:ascii="宋体" w:hAnsi="宋体" w:cs="宋体"/>
                <w:bCs/>
                <w:sz w:val="21"/>
                <w:szCs w:val="16"/>
              </w:rPr>
            </w:pPr>
            <w:r w:rsidRPr="00CF7566">
              <w:rPr>
                <w:rFonts w:ascii="宋体" w:hAnsi="宋体" w:cs="宋体" w:hint="eastAsia"/>
                <w:bCs/>
                <w:sz w:val="21"/>
                <w:szCs w:val="16"/>
              </w:rPr>
              <w:lastRenderedPageBreak/>
              <w:t>0-</w:t>
            </w:r>
            <w:r w:rsidR="0014234E" w:rsidRPr="00CF7566">
              <w:rPr>
                <w:rFonts w:ascii="宋体" w:hAnsi="宋体" w:cs="宋体" w:hint="eastAsia"/>
                <w:bCs/>
                <w:sz w:val="21"/>
                <w:szCs w:val="16"/>
              </w:rPr>
              <w:t>8</w:t>
            </w:r>
          </w:p>
        </w:tc>
      </w:tr>
      <w:tr w:rsidR="00A0077F">
        <w:trPr>
          <w:trHeight w:val="752"/>
          <w:jc w:val="center"/>
        </w:trPr>
        <w:tc>
          <w:tcPr>
            <w:tcW w:w="709"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740"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类似项目业绩</w:t>
            </w:r>
          </w:p>
        </w:tc>
        <w:tc>
          <w:tcPr>
            <w:tcW w:w="3119" w:type="pct"/>
            <w:vAlign w:val="center"/>
          </w:tcPr>
          <w:p w:rsidR="00A0077F" w:rsidRPr="00631C0E" w:rsidRDefault="006B1C0A">
            <w:pPr>
              <w:pStyle w:val="Normal1"/>
              <w:tabs>
                <w:tab w:val="left" w:pos="510"/>
              </w:tabs>
              <w:autoSpaceDE w:val="0"/>
              <w:autoSpaceDN w:val="0"/>
              <w:adjustRightInd w:val="0"/>
              <w:spacing w:line="276" w:lineRule="auto"/>
              <w:rPr>
                <w:rFonts w:ascii="宋体" w:hAnsi="宋体" w:cs="宋体"/>
                <w:color w:val="000000" w:themeColor="text1"/>
                <w:szCs w:val="16"/>
              </w:rPr>
            </w:pPr>
            <w:r w:rsidRPr="00631C0E">
              <w:rPr>
                <w:rFonts w:ascii="宋体" w:hAnsi="宋体" w:cs="宋体" w:hint="eastAsia"/>
                <w:color w:val="000000" w:themeColor="text1"/>
                <w:szCs w:val="16"/>
              </w:rPr>
              <w:t>对投标人自2021年1月1日以来完成过的类似项目业绩情况进行评价打分，每项得1分；其中完成过类似国际性国家</w:t>
            </w:r>
            <w:proofErr w:type="gramStart"/>
            <w:r w:rsidRPr="00631C0E">
              <w:rPr>
                <w:rFonts w:ascii="宋体" w:hAnsi="宋体" w:cs="宋体" w:hint="eastAsia"/>
                <w:color w:val="000000" w:themeColor="text1"/>
                <w:szCs w:val="16"/>
              </w:rPr>
              <w:t>性重点</w:t>
            </w:r>
            <w:proofErr w:type="gramEnd"/>
            <w:r w:rsidRPr="00631C0E">
              <w:rPr>
                <w:rFonts w:ascii="宋体" w:hAnsi="宋体" w:cs="宋体" w:hint="eastAsia"/>
                <w:color w:val="000000" w:themeColor="text1"/>
                <w:szCs w:val="16"/>
              </w:rPr>
              <w:t>项目的，每项得1.5分，最高得1</w:t>
            </w:r>
            <w:r w:rsidR="00631C0E" w:rsidRPr="00631C0E">
              <w:rPr>
                <w:rFonts w:ascii="宋体" w:hAnsi="宋体" w:cs="宋体" w:hint="eastAsia"/>
                <w:color w:val="000000" w:themeColor="text1"/>
                <w:szCs w:val="16"/>
              </w:rPr>
              <w:t>0</w:t>
            </w:r>
            <w:r w:rsidRPr="00631C0E">
              <w:rPr>
                <w:rFonts w:ascii="宋体" w:hAnsi="宋体" w:cs="宋体" w:hint="eastAsia"/>
                <w:color w:val="000000" w:themeColor="text1"/>
                <w:szCs w:val="16"/>
              </w:rPr>
              <w:t>分。</w:t>
            </w:r>
          </w:p>
          <w:p w:rsidR="00A0077F" w:rsidRPr="00631C0E" w:rsidRDefault="006B1C0A">
            <w:pPr>
              <w:spacing w:line="276" w:lineRule="auto"/>
              <w:rPr>
                <w:rFonts w:ascii="宋体" w:hAnsi="宋体" w:cs="宋体"/>
                <w:bCs/>
                <w:color w:val="000000" w:themeColor="text1"/>
                <w:sz w:val="21"/>
                <w:szCs w:val="16"/>
              </w:rPr>
            </w:pPr>
            <w:r w:rsidRPr="00631C0E">
              <w:rPr>
                <w:rFonts w:ascii="宋体" w:hAnsi="宋体" w:cs="宋体" w:hint="eastAsia"/>
                <w:color w:val="000000" w:themeColor="text1"/>
                <w:sz w:val="21"/>
                <w:szCs w:val="16"/>
              </w:rPr>
              <w:t>需提供中标通知书或合同复印件等有效证明材料，否则不得分，业绩时间以合同签订时间为准。</w:t>
            </w:r>
          </w:p>
        </w:tc>
        <w:tc>
          <w:tcPr>
            <w:tcW w:w="432" w:type="pct"/>
            <w:vAlign w:val="center"/>
          </w:tcPr>
          <w:p w:rsidR="00A0077F" w:rsidRPr="00631C0E" w:rsidRDefault="006B1C0A" w:rsidP="00631C0E">
            <w:pPr>
              <w:spacing w:line="276" w:lineRule="auto"/>
              <w:jc w:val="center"/>
              <w:rPr>
                <w:rFonts w:ascii="宋体" w:hAnsi="宋体" w:cs="宋体"/>
                <w:bCs/>
                <w:color w:val="000000" w:themeColor="text1"/>
                <w:sz w:val="21"/>
                <w:szCs w:val="16"/>
              </w:rPr>
            </w:pPr>
            <w:r w:rsidRPr="00631C0E">
              <w:rPr>
                <w:rFonts w:ascii="宋体" w:hAnsi="宋体" w:cs="宋体" w:hint="eastAsia"/>
                <w:bCs/>
                <w:color w:val="000000" w:themeColor="text1"/>
                <w:sz w:val="21"/>
                <w:szCs w:val="16"/>
              </w:rPr>
              <w:t>0-1</w:t>
            </w:r>
            <w:r w:rsidR="00631C0E" w:rsidRPr="00631C0E">
              <w:rPr>
                <w:rFonts w:ascii="宋体" w:hAnsi="宋体" w:cs="宋体" w:hint="eastAsia"/>
                <w:bCs/>
                <w:color w:val="000000" w:themeColor="text1"/>
                <w:sz w:val="21"/>
                <w:szCs w:val="16"/>
              </w:rPr>
              <w:t>0</w:t>
            </w:r>
          </w:p>
        </w:tc>
      </w:tr>
      <w:tr w:rsidR="00A0077F">
        <w:trPr>
          <w:trHeight w:val="752"/>
          <w:jc w:val="center"/>
        </w:trPr>
        <w:tc>
          <w:tcPr>
            <w:tcW w:w="709"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740" w:type="pct"/>
            <w:vMerge w:val="restar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项目团队</w:t>
            </w:r>
          </w:p>
        </w:tc>
        <w:tc>
          <w:tcPr>
            <w:tcW w:w="3119" w:type="pct"/>
            <w:vAlign w:val="center"/>
          </w:tcPr>
          <w:p w:rsidR="00A0077F" w:rsidRDefault="006B1C0A">
            <w:pPr>
              <w:snapToGrid w:val="0"/>
              <w:spacing w:line="276" w:lineRule="auto"/>
              <w:rPr>
                <w:rFonts w:ascii="宋体" w:hAnsi="宋体" w:cs="宋体"/>
                <w:color w:val="000000" w:themeColor="text1"/>
                <w:sz w:val="21"/>
                <w:szCs w:val="16"/>
              </w:rPr>
            </w:pPr>
            <w:r>
              <w:rPr>
                <w:rFonts w:ascii="宋体" w:hAnsi="宋体" w:cs="宋体" w:hint="eastAsia"/>
                <w:color w:val="000000" w:themeColor="text1"/>
                <w:sz w:val="21"/>
                <w:szCs w:val="16"/>
              </w:rPr>
              <w:t>项目负责人具有项目管理、信息系统管理相关资质证书，每个得1分，最多得2分。</w:t>
            </w:r>
          </w:p>
          <w:p w:rsidR="00A0077F" w:rsidRDefault="006B1C0A">
            <w:pPr>
              <w:pStyle w:val="a4"/>
              <w:spacing w:line="276" w:lineRule="auto"/>
              <w:ind w:firstLineChars="0" w:firstLine="0"/>
              <w:rPr>
                <w:rFonts w:ascii="宋体" w:hAnsi="宋体" w:cs="宋体"/>
                <w:szCs w:val="16"/>
              </w:rPr>
            </w:pPr>
            <w:r>
              <w:rPr>
                <w:rFonts w:ascii="宋体" w:hAnsi="宋体" w:cs="宋体" w:hint="eastAsia"/>
                <w:color w:val="000000" w:themeColor="text1"/>
                <w:kern w:val="0"/>
                <w:szCs w:val="16"/>
              </w:rPr>
              <w:t>项目负责人有管理类似线上平台项目、商贸平台的项目经验，</w:t>
            </w:r>
            <w:r>
              <w:rPr>
                <w:rFonts w:ascii="宋体" w:hAnsi="宋体" w:cs="宋体" w:hint="eastAsia"/>
                <w:kern w:val="0"/>
                <w:szCs w:val="16"/>
              </w:rPr>
              <w:t>组织实施团队的构建能力强、执行能力强，根据负责人履历情况，最高得3分</w:t>
            </w:r>
          </w:p>
        </w:tc>
        <w:tc>
          <w:tcPr>
            <w:tcW w:w="432"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0-5</w:t>
            </w:r>
          </w:p>
        </w:tc>
      </w:tr>
      <w:tr w:rsidR="00A0077F">
        <w:trPr>
          <w:trHeight w:val="405"/>
          <w:jc w:val="center"/>
        </w:trPr>
        <w:tc>
          <w:tcPr>
            <w:tcW w:w="709"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740"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3119" w:type="pct"/>
            <w:vAlign w:val="center"/>
          </w:tcPr>
          <w:p w:rsidR="00A0077F" w:rsidRDefault="006B1C0A" w:rsidP="00BD34B4">
            <w:pPr>
              <w:spacing w:line="276" w:lineRule="auto"/>
              <w:jc w:val="left"/>
              <w:rPr>
                <w:rFonts w:ascii="宋体" w:hAnsi="宋体" w:cs="宋体"/>
                <w:color w:val="000000" w:themeColor="text1"/>
                <w:sz w:val="21"/>
                <w:szCs w:val="16"/>
              </w:rPr>
            </w:pPr>
            <w:r>
              <w:rPr>
                <w:rFonts w:ascii="宋体" w:hAnsi="宋体" w:cs="宋体" w:hint="eastAsia"/>
                <w:snapToGrid w:val="0"/>
                <w:color w:val="000000" w:themeColor="text1"/>
                <w:sz w:val="21"/>
                <w:szCs w:val="16"/>
              </w:rPr>
              <w:t>投标人</w:t>
            </w:r>
            <w:r>
              <w:rPr>
                <w:rFonts w:ascii="宋体" w:hAnsi="宋体" w:cs="宋体" w:hint="eastAsia"/>
                <w:color w:val="000000" w:themeColor="text1"/>
                <w:sz w:val="21"/>
                <w:szCs w:val="16"/>
              </w:rPr>
              <w:t>针对本项目实际情况拟派的项目团队成员综合情况，包括各团队架构、工作经验、岗位设置、专业水平及技术实力进行评分。</w:t>
            </w:r>
          </w:p>
        </w:tc>
        <w:tc>
          <w:tcPr>
            <w:tcW w:w="432" w:type="pct"/>
            <w:vAlign w:val="center"/>
          </w:tcPr>
          <w:p w:rsidR="00A0077F" w:rsidRPr="00BD34B4" w:rsidRDefault="006B1C0A" w:rsidP="00BD34B4">
            <w:pPr>
              <w:spacing w:line="276" w:lineRule="auto"/>
              <w:jc w:val="center"/>
              <w:rPr>
                <w:rFonts w:ascii="宋体" w:hAnsi="宋体" w:cs="宋体"/>
                <w:bCs/>
                <w:sz w:val="21"/>
                <w:szCs w:val="16"/>
              </w:rPr>
            </w:pPr>
            <w:r w:rsidRPr="00BD34B4">
              <w:rPr>
                <w:rFonts w:ascii="宋体" w:hAnsi="宋体" w:cs="宋体" w:hint="eastAsia"/>
                <w:bCs/>
                <w:sz w:val="21"/>
                <w:szCs w:val="16"/>
              </w:rPr>
              <w:t>0-</w:t>
            </w:r>
            <w:r w:rsidR="00631C0E" w:rsidRPr="00BD34B4">
              <w:rPr>
                <w:rFonts w:ascii="宋体" w:hAnsi="宋体" w:cs="宋体" w:hint="eastAsia"/>
                <w:bCs/>
                <w:sz w:val="21"/>
                <w:szCs w:val="16"/>
              </w:rPr>
              <w:t>7</w:t>
            </w:r>
          </w:p>
        </w:tc>
      </w:tr>
      <w:tr w:rsidR="00A0077F">
        <w:trPr>
          <w:trHeight w:val="592"/>
          <w:jc w:val="center"/>
        </w:trPr>
        <w:tc>
          <w:tcPr>
            <w:tcW w:w="709"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740"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3119" w:type="pct"/>
            <w:vAlign w:val="center"/>
          </w:tcPr>
          <w:p w:rsidR="00A0077F" w:rsidRDefault="006B1C0A">
            <w:pPr>
              <w:spacing w:line="276" w:lineRule="auto"/>
              <w:rPr>
                <w:rFonts w:ascii="宋体" w:hAnsi="宋体" w:cs="宋体"/>
                <w:color w:val="000000" w:themeColor="text1"/>
                <w:sz w:val="21"/>
                <w:szCs w:val="16"/>
              </w:rPr>
            </w:pPr>
            <w:r>
              <w:rPr>
                <w:rFonts w:ascii="宋体" w:hAnsi="宋体" w:cs="宋体" w:hint="eastAsia"/>
                <w:color w:val="000000" w:themeColor="text1"/>
                <w:sz w:val="21"/>
                <w:szCs w:val="16"/>
              </w:rPr>
              <w:t>以上项目团队：需提供人员的证书复印件，如证明材料不全，该成员不得分。</w:t>
            </w:r>
          </w:p>
        </w:tc>
        <w:tc>
          <w:tcPr>
            <w:tcW w:w="432"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w:t>
            </w:r>
          </w:p>
        </w:tc>
      </w:tr>
    </w:tbl>
    <w:p w:rsidR="00A0077F" w:rsidRDefault="006B1C0A">
      <w:pPr>
        <w:pStyle w:val="3"/>
        <w:rPr>
          <w:rFonts w:ascii="宋体" w:hAnsi="宋体" w:cs="宋体"/>
          <w:color w:val="000000" w:themeColor="text1"/>
          <w:sz w:val="21"/>
          <w:szCs w:val="21"/>
        </w:rPr>
      </w:pPr>
      <w:r>
        <w:rPr>
          <w:rFonts w:ascii="宋体" w:hAnsi="宋体" w:cs="宋体" w:hint="eastAsia"/>
          <w:color w:val="000000" w:themeColor="text1"/>
          <w:sz w:val="21"/>
          <w:szCs w:val="21"/>
        </w:rPr>
        <w:t>3.2.2 技术部分：总分值40分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1261"/>
        <w:gridCol w:w="5316"/>
        <w:gridCol w:w="736"/>
      </w:tblGrid>
      <w:tr w:rsidR="00A0077F">
        <w:trPr>
          <w:trHeight w:val="538"/>
          <w:jc w:val="center"/>
        </w:trPr>
        <w:tc>
          <w:tcPr>
            <w:tcW w:w="1449" w:type="pct"/>
            <w:gridSpan w:val="2"/>
            <w:vAlign w:val="center"/>
          </w:tcPr>
          <w:p w:rsidR="00A0077F" w:rsidRDefault="006B1C0A">
            <w:pPr>
              <w:spacing w:line="276" w:lineRule="auto"/>
              <w:jc w:val="center"/>
              <w:rPr>
                <w:rFonts w:ascii="宋体" w:hAnsi="宋体" w:cs="宋体"/>
                <w:b/>
                <w:snapToGrid w:val="0"/>
                <w:color w:val="000000" w:themeColor="text1"/>
                <w:sz w:val="21"/>
                <w:szCs w:val="16"/>
              </w:rPr>
            </w:pPr>
            <w:r>
              <w:rPr>
                <w:rFonts w:ascii="宋体" w:hAnsi="宋体" w:cs="宋体" w:hint="eastAsia"/>
                <w:b/>
                <w:color w:val="000000" w:themeColor="text1"/>
                <w:sz w:val="21"/>
                <w:szCs w:val="16"/>
              </w:rPr>
              <w:t>评分项目及分值</w:t>
            </w:r>
          </w:p>
        </w:tc>
        <w:tc>
          <w:tcPr>
            <w:tcW w:w="3119" w:type="pct"/>
            <w:vAlign w:val="center"/>
          </w:tcPr>
          <w:p w:rsidR="00A0077F" w:rsidRDefault="006B1C0A">
            <w:pPr>
              <w:spacing w:line="276" w:lineRule="auto"/>
              <w:jc w:val="center"/>
              <w:rPr>
                <w:rFonts w:ascii="宋体" w:hAnsi="宋体" w:cs="宋体"/>
                <w:b/>
                <w:snapToGrid w:val="0"/>
                <w:color w:val="000000" w:themeColor="text1"/>
                <w:sz w:val="21"/>
                <w:szCs w:val="16"/>
              </w:rPr>
            </w:pPr>
            <w:r>
              <w:rPr>
                <w:rFonts w:ascii="宋体" w:hAnsi="宋体" w:cs="宋体" w:hint="eastAsia"/>
                <w:b/>
                <w:color w:val="000000" w:themeColor="text1"/>
                <w:sz w:val="21"/>
                <w:szCs w:val="16"/>
              </w:rPr>
              <w:t>评分细则</w:t>
            </w:r>
          </w:p>
        </w:tc>
        <w:tc>
          <w:tcPr>
            <w:tcW w:w="432" w:type="pct"/>
            <w:vAlign w:val="center"/>
          </w:tcPr>
          <w:p w:rsidR="00A0077F" w:rsidRDefault="006B1C0A">
            <w:pPr>
              <w:spacing w:line="276" w:lineRule="auto"/>
              <w:jc w:val="center"/>
              <w:rPr>
                <w:rFonts w:ascii="宋体" w:hAnsi="宋体" w:cs="宋体"/>
                <w:b/>
                <w:color w:val="000000" w:themeColor="text1"/>
                <w:sz w:val="21"/>
                <w:szCs w:val="16"/>
              </w:rPr>
            </w:pPr>
            <w:r>
              <w:rPr>
                <w:rFonts w:ascii="宋体" w:hAnsi="宋体" w:cs="宋体" w:hint="eastAsia"/>
                <w:b/>
                <w:color w:val="000000" w:themeColor="text1"/>
                <w:sz w:val="21"/>
                <w:szCs w:val="16"/>
              </w:rPr>
              <w:t>最高</w:t>
            </w:r>
          </w:p>
          <w:p w:rsidR="00A0077F" w:rsidRDefault="006B1C0A">
            <w:pPr>
              <w:spacing w:line="276" w:lineRule="auto"/>
              <w:jc w:val="center"/>
              <w:rPr>
                <w:rFonts w:ascii="宋体" w:hAnsi="宋体" w:cs="宋体"/>
                <w:b/>
                <w:snapToGrid w:val="0"/>
                <w:color w:val="000000" w:themeColor="text1"/>
                <w:sz w:val="21"/>
                <w:szCs w:val="16"/>
              </w:rPr>
            </w:pPr>
            <w:r>
              <w:rPr>
                <w:rFonts w:ascii="宋体" w:hAnsi="宋体" w:cs="宋体" w:hint="eastAsia"/>
                <w:b/>
                <w:color w:val="000000" w:themeColor="text1"/>
                <w:sz w:val="21"/>
                <w:szCs w:val="16"/>
              </w:rPr>
              <w:t>分值</w:t>
            </w:r>
          </w:p>
        </w:tc>
      </w:tr>
      <w:tr w:rsidR="00A0077F">
        <w:trPr>
          <w:trHeight w:val="592"/>
          <w:jc w:val="center"/>
        </w:trPr>
        <w:tc>
          <w:tcPr>
            <w:tcW w:w="709" w:type="pct"/>
            <w:vMerge w:val="restart"/>
            <w:vAlign w:val="center"/>
          </w:tcPr>
          <w:p w:rsidR="00A0077F" w:rsidRDefault="006B1C0A">
            <w:pPr>
              <w:spacing w:line="276" w:lineRule="auto"/>
              <w:jc w:val="center"/>
              <w:rPr>
                <w:rFonts w:ascii="宋体" w:hAnsi="宋体" w:cs="宋体"/>
                <w:color w:val="000000" w:themeColor="text1"/>
                <w:sz w:val="21"/>
                <w:szCs w:val="16"/>
              </w:rPr>
            </w:pPr>
            <w:r>
              <w:rPr>
                <w:rFonts w:ascii="宋体" w:hAnsi="宋体" w:cs="宋体" w:hint="eastAsia"/>
                <w:color w:val="000000" w:themeColor="text1"/>
                <w:sz w:val="21"/>
                <w:szCs w:val="16"/>
              </w:rPr>
              <w:t>技术部分</w:t>
            </w:r>
          </w:p>
          <w:p w:rsidR="00A0077F" w:rsidRDefault="006B1C0A">
            <w:pPr>
              <w:spacing w:line="276" w:lineRule="auto"/>
              <w:jc w:val="center"/>
              <w:rPr>
                <w:rFonts w:ascii="宋体" w:hAnsi="宋体" w:cs="宋体"/>
                <w:color w:val="000000" w:themeColor="text1"/>
                <w:sz w:val="21"/>
                <w:szCs w:val="16"/>
              </w:rPr>
            </w:pPr>
            <w:r>
              <w:rPr>
                <w:rFonts w:ascii="宋体" w:hAnsi="宋体" w:cs="宋体" w:hint="eastAsia"/>
                <w:color w:val="000000" w:themeColor="text1"/>
                <w:sz w:val="21"/>
                <w:szCs w:val="16"/>
              </w:rPr>
              <w:t>（0-40）</w:t>
            </w:r>
          </w:p>
          <w:p w:rsidR="00A0077F" w:rsidRDefault="00A0077F">
            <w:pPr>
              <w:spacing w:line="276" w:lineRule="auto"/>
              <w:jc w:val="center"/>
              <w:rPr>
                <w:rFonts w:ascii="宋体" w:hAnsi="宋体" w:cs="宋体"/>
                <w:color w:val="000000" w:themeColor="text1"/>
                <w:sz w:val="21"/>
                <w:szCs w:val="16"/>
              </w:rPr>
            </w:pPr>
          </w:p>
        </w:tc>
        <w:tc>
          <w:tcPr>
            <w:tcW w:w="740"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技术响应</w:t>
            </w:r>
          </w:p>
        </w:tc>
        <w:tc>
          <w:tcPr>
            <w:tcW w:w="3119" w:type="pct"/>
            <w:vAlign w:val="center"/>
          </w:tcPr>
          <w:p w:rsidR="00A0077F" w:rsidRDefault="006B1C0A">
            <w:pPr>
              <w:spacing w:line="276" w:lineRule="auto"/>
              <w:rPr>
                <w:rFonts w:ascii="宋体" w:hAnsi="宋体" w:cs="宋体"/>
                <w:color w:val="000000" w:themeColor="text1"/>
                <w:sz w:val="21"/>
                <w:szCs w:val="16"/>
              </w:rPr>
            </w:pPr>
            <w:r>
              <w:rPr>
                <w:rFonts w:ascii="宋体" w:hAnsi="宋体" w:cs="宋体" w:hint="eastAsia"/>
                <w:color w:val="000000" w:themeColor="text1"/>
                <w:sz w:val="21"/>
                <w:szCs w:val="16"/>
              </w:rPr>
              <w:t>主办方后台管理：可支持后台登陆，设置基础信息、权限管理、角色管理、平台管理、内容管理、表单管理、数据中心等功能。</w:t>
            </w:r>
          </w:p>
          <w:p w:rsidR="00A0077F" w:rsidRDefault="006B1C0A">
            <w:pPr>
              <w:pStyle w:val="a4"/>
              <w:ind w:firstLineChars="0" w:firstLine="0"/>
              <w:rPr>
                <w:rFonts w:ascii="宋体" w:hAnsi="宋体" w:cs="宋体"/>
                <w:szCs w:val="16"/>
              </w:rPr>
            </w:pPr>
            <w:r>
              <w:rPr>
                <w:rFonts w:ascii="宋体" w:hAnsi="宋体" w:cs="宋体" w:hint="eastAsia"/>
                <w:color w:val="000000" w:themeColor="text1"/>
                <w:kern w:val="0"/>
                <w:szCs w:val="16"/>
              </w:rPr>
              <w:t>子公司后台管理：可支持子公司基础信息设置、案例管理、用户推广功能。</w:t>
            </w:r>
          </w:p>
          <w:p w:rsidR="00A0077F" w:rsidRDefault="006B1C0A">
            <w:pPr>
              <w:spacing w:line="276" w:lineRule="auto"/>
              <w:rPr>
                <w:rFonts w:ascii="宋体" w:hAnsi="宋体" w:cs="宋体"/>
                <w:color w:val="000000" w:themeColor="text1"/>
                <w:sz w:val="21"/>
                <w:szCs w:val="16"/>
              </w:rPr>
            </w:pPr>
            <w:r>
              <w:rPr>
                <w:rFonts w:ascii="宋体" w:hAnsi="宋体" w:cs="宋体" w:hint="eastAsia"/>
                <w:color w:val="000000" w:themeColor="text1"/>
                <w:sz w:val="21"/>
                <w:szCs w:val="16"/>
              </w:rPr>
              <w:t>用户前端：可在前端页面根据关键词进行搜索，查询到相关子公司、创新邀约、创新案例、创新资源的内容</w:t>
            </w:r>
          </w:p>
          <w:p w:rsidR="00A0077F" w:rsidRDefault="006B1C0A">
            <w:pPr>
              <w:pStyle w:val="a4"/>
              <w:ind w:firstLineChars="0" w:firstLine="0"/>
              <w:rPr>
                <w:rFonts w:ascii="宋体" w:hAnsi="宋体" w:cs="宋体"/>
                <w:szCs w:val="16"/>
              </w:rPr>
            </w:pPr>
            <w:r>
              <w:rPr>
                <w:rFonts w:ascii="宋体" w:hAnsi="宋体" w:cs="宋体" w:hint="eastAsia"/>
                <w:color w:val="000000" w:themeColor="text1"/>
                <w:kern w:val="0"/>
                <w:szCs w:val="16"/>
              </w:rPr>
              <w:t>从合理性、实际可操作情况由评委进行评分, ①全部可响应，描述清晰，保障充分的得15分； ②少部分功能点不能响应得10分； ③大部分功能点不能响应的得5分。</w:t>
            </w:r>
          </w:p>
        </w:tc>
        <w:tc>
          <w:tcPr>
            <w:tcW w:w="432" w:type="pct"/>
            <w:vAlign w:val="center"/>
          </w:tcPr>
          <w:p w:rsidR="00A0077F" w:rsidRPr="00CF7566" w:rsidRDefault="00121E78">
            <w:pPr>
              <w:spacing w:line="276" w:lineRule="auto"/>
              <w:jc w:val="center"/>
              <w:rPr>
                <w:rFonts w:ascii="宋体" w:hAnsi="宋体" w:cs="宋体"/>
                <w:bCs/>
                <w:sz w:val="21"/>
                <w:szCs w:val="16"/>
              </w:rPr>
            </w:pPr>
            <w:r w:rsidRPr="00CF7566">
              <w:rPr>
                <w:rFonts w:ascii="宋体" w:hAnsi="宋体" w:cs="宋体"/>
                <w:bCs/>
                <w:sz w:val="21"/>
                <w:szCs w:val="16"/>
              </w:rPr>
              <w:t>5</w:t>
            </w:r>
            <w:r w:rsidRPr="00CF7566">
              <w:rPr>
                <w:rFonts w:ascii="宋体" w:hAnsi="宋体" w:cs="宋体" w:hint="eastAsia"/>
                <w:bCs/>
                <w:sz w:val="21"/>
                <w:szCs w:val="16"/>
              </w:rPr>
              <w:t>-15</w:t>
            </w:r>
          </w:p>
        </w:tc>
      </w:tr>
      <w:tr w:rsidR="00A0077F">
        <w:trPr>
          <w:trHeight w:val="592"/>
          <w:jc w:val="center"/>
        </w:trPr>
        <w:tc>
          <w:tcPr>
            <w:tcW w:w="709"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740"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系统架构及建设</w:t>
            </w:r>
          </w:p>
        </w:tc>
        <w:tc>
          <w:tcPr>
            <w:tcW w:w="3119" w:type="pct"/>
            <w:vAlign w:val="center"/>
          </w:tcPr>
          <w:p w:rsidR="00A0077F" w:rsidRDefault="006B1C0A">
            <w:pPr>
              <w:spacing w:line="276" w:lineRule="auto"/>
              <w:rPr>
                <w:rFonts w:ascii="宋体" w:hAnsi="宋体" w:cs="宋体"/>
                <w:color w:val="000000" w:themeColor="text1"/>
                <w:sz w:val="21"/>
                <w:szCs w:val="16"/>
              </w:rPr>
            </w:pPr>
            <w:r>
              <w:rPr>
                <w:rFonts w:ascii="宋体" w:hAnsi="宋体" w:cs="宋体" w:hint="eastAsia"/>
                <w:color w:val="000000" w:themeColor="text1"/>
                <w:sz w:val="21"/>
                <w:szCs w:val="16"/>
              </w:rPr>
              <w:t xml:space="preserve">根据供应商针对本项目提供的系统架构及建设，从逻辑性、合理性、实际可操作情况由评委进行评分, </w:t>
            </w:r>
          </w:p>
          <w:p w:rsidR="00A0077F" w:rsidRDefault="006B1C0A" w:rsidP="00BD34B4">
            <w:pPr>
              <w:pStyle w:val="a6"/>
              <w:numPr>
                <w:ilvl w:val="0"/>
                <w:numId w:val="18"/>
              </w:numPr>
              <w:spacing w:line="276" w:lineRule="auto"/>
              <w:ind w:left="0" w:firstLineChars="0" w:firstLine="0"/>
              <w:rPr>
                <w:rFonts w:ascii="宋体" w:hAnsi="宋体" w:cs="宋体"/>
                <w:szCs w:val="16"/>
              </w:rPr>
            </w:pPr>
            <w:r>
              <w:rPr>
                <w:rFonts w:ascii="宋体" w:hAnsi="宋体" w:cs="宋体" w:hint="eastAsia"/>
                <w:color w:val="000000" w:themeColor="text1"/>
                <w:kern w:val="0"/>
                <w:szCs w:val="16"/>
              </w:rPr>
              <w:lastRenderedPageBreak/>
              <w:t>平台规划有依据，逻辑图清晰准确，描述符合实际操作简单的得5分； ②平台规划有依据，逻辑图明确项目需求，描述操作复杂的得3分； ③平台规划无依据，逻辑图混乱，实际中</w:t>
            </w:r>
            <w:proofErr w:type="gramStart"/>
            <w:r>
              <w:rPr>
                <w:rFonts w:ascii="宋体" w:hAnsi="宋体" w:cs="宋体" w:hint="eastAsia"/>
                <w:color w:val="000000" w:themeColor="text1"/>
                <w:kern w:val="0"/>
                <w:szCs w:val="16"/>
              </w:rPr>
              <w:t>不</w:t>
            </w:r>
            <w:proofErr w:type="gramEnd"/>
            <w:r>
              <w:rPr>
                <w:rFonts w:ascii="宋体" w:hAnsi="宋体" w:cs="宋体" w:hint="eastAsia"/>
                <w:color w:val="000000" w:themeColor="text1"/>
                <w:kern w:val="0"/>
                <w:szCs w:val="16"/>
              </w:rPr>
              <w:t>可操作的得1分。</w:t>
            </w:r>
          </w:p>
        </w:tc>
        <w:tc>
          <w:tcPr>
            <w:tcW w:w="432" w:type="pct"/>
            <w:vAlign w:val="center"/>
          </w:tcPr>
          <w:p w:rsidR="00A0077F" w:rsidRPr="00CF7566" w:rsidRDefault="00121E78">
            <w:pPr>
              <w:spacing w:line="276" w:lineRule="auto"/>
              <w:jc w:val="center"/>
              <w:rPr>
                <w:rFonts w:ascii="宋体" w:hAnsi="宋体" w:cs="宋体"/>
                <w:bCs/>
                <w:sz w:val="21"/>
                <w:szCs w:val="16"/>
              </w:rPr>
            </w:pPr>
            <w:r w:rsidRPr="00CF7566">
              <w:rPr>
                <w:rFonts w:ascii="宋体" w:hAnsi="宋体" w:cs="宋体"/>
                <w:bCs/>
                <w:sz w:val="21"/>
                <w:szCs w:val="16"/>
              </w:rPr>
              <w:lastRenderedPageBreak/>
              <w:t>1</w:t>
            </w:r>
            <w:r w:rsidRPr="00CF7566">
              <w:rPr>
                <w:rFonts w:ascii="宋体" w:hAnsi="宋体" w:cs="宋体" w:hint="eastAsia"/>
                <w:bCs/>
                <w:sz w:val="21"/>
                <w:szCs w:val="16"/>
              </w:rPr>
              <w:t>-5</w:t>
            </w:r>
          </w:p>
        </w:tc>
      </w:tr>
      <w:tr w:rsidR="00A0077F">
        <w:trPr>
          <w:trHeight w:val="592"/>
          <w:jc w:val="center"/>
        </w:trPr>
        <w:tc>
          <w:tcPr>
            <w:tcW w:w="709" w:type="pct"/>
            <w:vMerge/>
            <w:vAlign w:val="center"/>
          </w:tcPr>
          <w:p w:rsidR="00A0077F" w:rsidRDefault="00A0077F">
            <w:pPr>
              <w:spacing w:line="276" w:lineRule="auto"/>
              <w:jc w:val="center"/>
              <w:rPr>
                <w:rFonts w:ascii="宋体" w:hAnsi="宋体" w:cs="宋体"/>
                <w:color w:val="000000" w:themeColor="text1"/>
                <w:sz w:val="21"/>
                <w:szCs w:val="16"/>
              </w:rPr>
            </w:pPr>
          </w:p>
        </w:tc>
        <w:tc>
          <w:tcPr>
            <w:tcW w:w="740"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项目实施方案</w:t>
            </w:r>
          </w:p>
        </w:tc>
        <w:tc>
          <w:tcPr>
            <w:tcW w:w="3119" w:type="pct"/>
            <w:vAlign w:val="center"/>
          </w:tcPr>
          <w:p w:rsidR="00A0077F" w:rsidRDefault="006B1C0A">
            <w:pPr>
              <w:pStyle w:val="a4"/>
              <w:spacing w:line="276" w:lineRule="auto"/>
              <w:ind w:firstLineChars="0" w:firstLine="0"/>
              <w:rPr>
                <w:rFonts w:ascii="宋体" w:hAnsi="宋体" w:cs="宋体"/>
                <w:szCs w:val="16"/>
              </w:rPr>
            </w:pPr>
            <w:r>
              <w:rPr>
                <w:rFonts w:ascii="宋体" w:hAnsi="宋体" w:cs="宋体" w:hint="eastAsia"/>
                <w:color w:val="000000" w:themeColor="text1"/>
                <w:kern w:val="0"/>
                <w:szCs w:val="16"/>
              </w:rPr>
              <w:t>根据供应商针对本项目提供的实施方案，从合理性、实际可操作情况由评委进行评分, ①进度合理，规划清晰，保障充分的得5分； ②进度较为合理得3分； ③进度不合理，规划混乱的得1分。</w:t>
            </w:r>
          </w:p>
        </w:tc>
        <w:tc>
          <w:tcPr>
            <w:tcW w:w="432" w:type="pct"/>
            <w:vAlign w:val="center"/>
          </w:tcPr>
          <w:p w:rsidR="00A0077F" w:rsidRPr="00CF7566" w:rsidRDefault="00121E78">
            <w:pPr>
              <w:spacing w:line="276" w:lineRule="auto"/>
              <w:jc w:val="center"/>
              <w:rPr>
                <w:rFonts w:ascii="宋体" w:hAnsi="宋体" w:cs="宋体"/>
                <w:bCs/>
                <w:sz w:val="21"/>
                <w:szCs w:val="16"/>
              </w:rPr>
            </w:pPr>
            <w:r w:rsidRPr="00CF7566">
              <w:rPr>
                <w:rFonts w:ascii="宋体" w:hAnsi="宋体" w:cs="宋体"/>
                <w:bCs/>
                <w:sz w:val="21"/>
                <w:szCs w:val="16"/>
              </w:rPr>
              <w:t>1</w:t>
            </w:r>
            <w:r w:rsidRPr="00CF7566">
              <w:rPr>
                <w:rFonts w:ascii="宋体" w:hAnsi="宋体" w:cs="宋体" w:hint="eastAsia"/>
                <w:bCs/>
                <w:sz w:val="21"/>
                <w:szCs w:val="16"/>
              </w:rPr>
              <w:t>-5</w:t>
            </w:r>
          </w:p>
        </w:tc>
      </w:tr>
      <w:tr w:rsidR="00A0077F">
        <w:trPr>
          <w:trHeight w:val="592"/>
          <w:jc w:val="center"/>
        </w:trPr>
        <w:tc>
          <w:tcPr>
            <w:tcW w:w="709"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740"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系统稳定安全性保障</w:t>
            </w:r>
          </w:p>
        </w:tc>
        <w:tc>
          <w:tcPr>
            <w:tcW w:w="3119" w:type="pct"/>
            <w:vAlign w:val="center"/>
          </w:tcPr>
          <w:p w:rsidR="00A0077F" w:rsidRDefault="006B1C0A">
            <w:pPr>
              <w:pStyle w:val="a4"/>
              <w:spacing w:line="276" w:lineRule="auto"/>
              <w:ind w:firstLineChars="0" w:firstLine="0"/>
              <w:rPr>
                <w:rFonts w:ascii="宋体" w:hAnsi="宋体" w:cs="宋体"/>
                <w:szCs w:val="16"/>
              </w:rPr>
            </w:pPr>
            <w:r>
              <w:rPr>
                <w:rFonts w:ascii="宋体" w:hAnsi="宋体" w:cs="宋体" w:hint="eastAsia"/>
                <w:szCs w:val="16"/>
              </w:rPr>
              <w:t>根据供应商针对本项目提供的网络安全保障方案，从安全、周到、详尽三个方面由评委进行横向评议</w:t>
            </w:r>
          </w:p>
          <w:p w:rsidR="00A0077F" w:rsidRDefault="006B1C0A" w:rsidP="00121E78">
            <w:pPr>
              <w:pStyle w:val="a4"/>
              <w:numPr>
                <w:ilvl w:val="0"/>
                <w:numId w:val="21"/>
              </w:numPr>
              <w:spacing w:line="276" w:lineRule="auto"/>
              <w:ind w:firstLineChars="0"/>
              <w:rPr>
                <w:rFonts w:ascii="宋体" w:hAnsi="宋体" w:cs="宋体"/>
                <w:szCs w:val="16"/>
              </w:rPr>
            </w:pPr>
            <w:r>
              <w:rPr>
                <w:rFonts w:ascii="宋体" w:hAnsi="宋体" w:cs="宋体" w:hint="eastAsia"/>
                <w:szCs w:val="16"/>
              </w:rPr>
              <w:t>好的得5分； ②较好的得3分； ③一般的得1分。</w:t>
            </w:r>
          </w:p>
        </w:tc>
        <w:tc>
          <w:tcPr>
            <w:tcW w:w="432" w:type="pct"/>
            <w:vAlign w:val="center"/>
          </w:tcPr>
          <w:p w:rsidR="00A0077F" w:rsidRPr="00CF7566" w:rsidRDefault="00121E78">
            <w:pPr>
              <w:spacing w:line="276" w:lineRule="auto"/>
              <w:jc w:val="center"/>
              <w:rPr>
                <w:rFonts w:ascii="宋体" w:hAnsi="宋体" w:cs="宋体"/>
                <w:bCs/>
                <w:sz w:val="21"/>
                <w:szCs w:val="16"/>
              </w:rPr>
            </w:pPr>
            <w:r w:rsidRPr="00CF7566">
              <w:rPr>
                <w:rFonts w:ascii="宋体" w:hAnsi="宋体" w:cs="宋体"/>
                <w:bCs/>
                <w:sz w:val="21"/>
                <w:szCs w:val="16"/>
              </w:rPr>
              <w:t>1</w:t>
            </w:r>
            <w:r w:rsidRPr="00CF7566">
              <w:rPr>
                <w:rFonts w:ascii="宋体" w:hAnsi="宋体" w:cs="宋体" w:hint="eastAsia"/>
                <w:bCs/>
                <w:sz w:val="21"/>
                <w:szCs w:val="16"/>
              </w:rPr>
              <w:t>-5</w:t>
            </w:r>
          </w:p>
        </w:tc>
      </w:tr>
      <w:tr w:rsidR="00A0077F">
        <w:trPr>
          <w:trHeight w:val="592"/>
          <w:jc w:val="center"/>
        </w:trPr>
        <w:tc>
          <w:tcPr>
            <w:tcW w:w="709"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740"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配套运营服务</w:t>
            </w:r>
          </w:p>
        </w:tc>
        <w:tc>
          <w:tcPr>
            <w:tcW w:w="3119" w:type="pct"/>
            <w:vAlign w:val="center"/>
          </w:tcPr>
          <w:p w:rsidR="00A0077F" w:rsidRDefault="006B1C0A">
            <w:pPr>
              <w:pStyle w:val="a4"/>
              <w:spacing w:line="276" w:lineRule="auto"/>
              <w:ind w:firstLineChars="0" w:firstLine="0"/>
              <w:rPr>
                <w:rFonts w:ascii="宋体" w:hAnsi="宋体" w:cs="宋体"/>
                <w:szCs w:val="16"/>
              </w:rPr>
            </w:pPr>
            <w:r>
              <w:rPr>
                <w:rFonts w:ascii="宋体" w:hAnsi="宋体" w:cs="宋体" w:hint="eastAsia"/>
                <w:szCs w:val="16"/>
              </w:rPr>
              <w:t>根据供应商提供的运营服务方案进行评分，需要包含：</w:t>
            </w:r>
          </w:p>
          <w:p w:rsidR="00A0077F" w:rsidRDefault="006B1C0A">
            <w:pPr>
              <w:pStyle w:val="a4"/>
              <w:numPr>
                <w:ilvl w:val="0"/>
                <w:numId w:val="19"/>
              </w:numPr>
              <w:spacing w:line="276" w:lineRule="auto"/>
              <w:ind w:left="0" w:firstLineChars="0" w:firstLine="0"/>
              <w:rPr>
                <w:rFonts w:ascii="宋体" w:hAnsi="宋体" w:cs="宋体"/>
                <w:szCs w:val="16"/>
              </w:rPr>
            </w:pPr>
            <w:r>
              <w:rPr>
                <w:rFonts w:ascii="宋体" w:hAnsi="宋体" w:cs="宋体" w:hint="eastAsia"/>
                <w:szCs w:val="16"/>
              </w:rPr>
              <w:t>提供项目培训服务</w:t>
            </w:r>
          </w:p>
          <w:p w:rsidR="00A0077F" w:rsidRDefault="006B1C0A">
            <w:pPr>
              <w:pStyle w:val="a4"/>
              <w:numPr>
                <w:ilvl w:val="0"/>
                <w:numId w:val="19"/>
              </w:numPr>
              <w:spacing w:line="276" w:lineRule="auto"/>
              <w:ind w:left="0" w:firstLineChars="0" w:firstLine="0"/>
              <w:rPr>
                <w:rFonts w:ascii="宋体" w:hAnsi="宋体" w:cs="宋体"/>
                <w:szCs w:val="16"/>
              </w:rPr>
            </w:pPr>
            <w:r>
              <w:rPr>
                <w:rFonts w:ascii="宋体" w:hAnsi="宋体" w:cs="宋体" w:hint="eastAsia"/>
                <w:szCs w:val="16"/>
              </w:rPr>
              <w:t>提供工作时间内的客服服务</w:t>
            </w:r>
          </w:p>
          <w:p w:rsidR="00A0077F" w:rsidRDefault="006B1C0A">
            <w:pPr>
              <w:pStyle w:val="a4"/>
              <w:numPr>
                <w:ilvl w:val="0"/>
                <w:numId w:val="19"/>
              </w:numPr>
              <w:spacing w:line="276" w:lineRule="auto"/>
              <w:ind w:left="0" w:firstLineChars="0" w:firstLine="0"/>
              <w:rPr>
                <w:rFonts w:ascii="宋体" w:hAnsi="宋体" w:cs="宋体"/>
                <w:szCs w:val="16"/>
              </w:rPr>
            </w:pPr>
            <w:r>
              <w:rPr>
                <w:rFonts w:ascii="宋体" w:hAnsi="宋体" w:cs="宋体" w:hint="eastAsia"/>
                <w:szCs w:val="16"/>
              </w:rPr>
              <w:t>服务期间须指派专人运维，确保平台及相关功能一年内可用。</w:t>
            </w:r>
          </w:p>
          <w:p w:rsidR="00A0077F" w:rsidRDefault="006B1C0A">
            <w:pPr>
              <w:pStyle w:val="a4"/>
              <w:numPr>
                <w:ilvl w:val="0"/>
                <w:numId w:val="19"/>
              </w:numPr>
              <w:spacing w:line="276" w:lineRule="auto"/>
              <w:ind w:left="0" w:firstLineChars="0" w:firstLine="0"/>
              <w:rPr>
                <w:rFonts w:ascii="宋体" w:hAnsi="宋体" w:cs="宋体"/>
                <w:szCs w:val="16"/>
              </w:rPr>
            </w:pPr>
            <w:r>
              <w:rPr>
                <w:rFonts w:ascii="宋体" w:hAnsi="宋体" w:cs="宋体" w:hint="eastAsia"/>
                <w:szCs w:val="16"/>
              </w:rPr>
              <w:t>提供线上</w:t>
            </w:r>
            <w:r>
              <w:rPr>
                <w:rFonts w:ascii="宋体" w:hAnsi="宋体" w:cs="宋体"/>
                <w:szCs w:val="16"/>
              </w:rPr>
              <w:t>平台</w:t>
            </w:r>
            <w:r>
              <w:rPr>
                <w:rFonts w:ascii="宋体" w:hAnsi="宋体" w:cs="宋体" w:hint="eastAsia"/>
                <w:szCs w:val="16"/>
              </w:rPr>
              <w:t>存续一年云资源服务；</w:t>
            </w:r>
          </w:p>
          <w:p w:rsidR="00A0077F" w:rsidRDefault="006B1C0A">
            <w:pPr>
              <w:pStyle w:val="a4"/>
              <w:numPr>
                <w:ilvl w:val="0"/>
                <w:numId w:val="19"/>
              </w:numPr>
              <w:spacing w:line="276" w:lineRule="auto"/>
              <w:ind w:left="0" w:firstLineChars="0" w:firstLine="0"/>
              <w:rPr>
                <w:rFonts w:ascii="宋体" w:hAnsi="宋体" w:cs="宋体"/>
                <w:szCs w:val="16"/>
              </w:rPr>
            </w:pPr>
            <w:r>
              <w:rPr>
                <w:rFonts w:ascii="宋体" w:hAnsi="宋体" w:cs="宋体" w:hint="eastAsia"/>
                <w:szCs w:val="16"/>
              </w:rPr>
              <w:t>针对突发事件于2小时内响应，做好应急预案。</w:t>
            </w:r>
          </w:p>
          <w:p w:rsidR="00A0077F" w:rsidRDefault="006B1C0A">
            <w:pPr>
              <w:pStyle w:val="a4"/>
              <w:spacing w:line="276" w:lineRule="auto"/>
              <w:ind w:firstLineChars="0" w:firstLine="0"/>
              <w:rPr>
                <w:rFonts w:ascii="宋体" w:hAnsi="宋体" w:cs="宋体"/>
                <w:szCs w:val="16"/>
              </w:rPr>
            </w:pPr>
            <w:r>
              <w:rPr>
                <w:rFonts w:ascii="宋体" w:hAnsi="宋体" w:cs="宋体" w:hint="eastAsia"/>
                <w:szCs w:val="16"/>
              </w:rPr>
              <w:t>以上每点1分，不响应则不得分</w:t>
            </w:r>
          </w:p>
        </w:tc>
        <w:tc>
          <w:tcPr>
            <w:tcW w:w="432"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0-5</w:t>
            </w:r>
          </w:p>
        </w:tc>
      </w:tr>
      <w:tr w:rsidR="00A0077F">
        <w:trPr>
          <w:trHeight w:val="592"/>
          <w:jc w:val="center"/>
        </w:trPr>
        <w:tc>
          <w:tcPr>
            <w:tcW w:w="709" w:type="pct"/>
            <w:vMerge/>
            <w:vAlign w:val="center"/>
          </w:tcPr>
          <w:p w:rsidR="00A0077F" w:rsidRDefault="00A0077F">
            <w:pPr>
              <w:spacing w:line="276" w:lineRule="auto"/>
              <w:jc w:val="center"/>
              <w:rPr>
                <w:rFonts w:ascii="宋体" w:hAnsi="宋体" w:cs="宋体"/>
                <w:bCs/>
                <w:color w:val="000000" w:themeColor="text1"/>
                <w:sz w:val="21"/>
                <w:szCs w:val="16"/>
              </w:rPr>
            </w:pPr>
          </w:p>
        </w:tc>
        <w:tc>
          <w:tcPr>
            <w:tcW w:w="740" w:type="pct"/>
            <w:vAlign w:val="center"/>
          </w:tcPr>
          <w:p w:rsidR="00A0077F" w:rsidRDefault="006B1C0A">
            <w:pPr>
              <w:spacing w:line="276" w:lineRule="auto"/>
              <w:jc w:val="center"/>
              <w:rPr>
                <w:rFonts w:ascii="宋体" w:hAnsi="宋体" w:cs="宋体"/>
                <w:bCs/>
                <w:color w:val="000000" w:themeColor="text1"/>
                <w:sz w:val="21"/>
                <w:szCs w:val="16"/>
              </w:rPr>
            </w:pPr>
            <w:r>
              <w:rPr>
                <w:rFonts w:ascii="宋体" w:hAnsi="宋体" w:cs="宋体" w:hint="eastAsia"/>
                <w:bCs/>
                <w:color w:val="000000" w:themeColor="text1"/>
                <w:sz w:val="21"/>
                <w:szCs w:val="16"/>
              </w:rPr>
              <w:t>应急预案</w:t>
            </w:r>
          </w:p>
        </w:tc>
        <w:tc>
          <w:tcPr>
            <w:tcW w:w="3119" w:type="pct"/>
            <w:vAlign w:val="center"/>
          </w:tcPr>
          <w:p w:rsidR="00A0077F" w:rsidRDefault="006B1C0A">
            <w:pPr>
              <w:pStyle w:val="a4"/>
              <w:spacing w:line="276" w:lineRule="auto"/>
              <w:ind w:firstLineChars="0" w:firstLine="0"/>
              <w:rPr>
                <w:rFonts w:ascii="宋体" w:hAnsi="宋体" w:cs="宋体"/>
                <w:szCs w:val="16"/>
              </w:rPr>
            </w:pPr>
            <w:r>
              <w:rPr>
                <w:rFonts w:ascii="宋体" w:hAnsi="宋体" w:cs="宋体" w:hint="eastAsia"/>
                <w:szCs w:val="16"/>
              </w:rPr>
              <w:t>根据供应商针对本项目提供的应急处理预案，从全面、合理、及时三个方面由评委进行横向评议</w:t>
            </w:r>
          </w:p>
          <w:p w:rsidR="00A0077F" w:rsidRDefault="006B1C0A">
            <w:pPr>
              <w:pStyle w:val="a4"/>
              <w:numPr>
                <w:ilvl w:val="0"/>
                <w:numId w:val="20"/>
              </w:numPr>
              <w:spacing w:line="276" w:lineRule="auto"/>
              <w:ind w:firstLineChars="0"/>
              <w:rPr>
                <w:rFonts w:ascii="宋体" w:hAnsi="宋体" w:cs="宋体"/>
                <w:szCs w:val="16"/>
              </w:rPr>
            </w:pPr>
            <w:r>
              <w:rPr>
                <w:rFonts w:ascii="宋体" w:hAnsi="宋体" w:cs="宋体" w:hint="eastAsia"/>
                <w:szCs w:val="16"/>
              </w:rPr>
              <w:t>好的得5分； ②较好的得3分； ③一般的得1分。</w:t>
            </w:r>
          </w:p>
        </w:tc>
        <w:tc>
          <w:tcPr>
            <w:tcW w:w="432" w:type="pct"/>
            <w:vAlign w:val="center"/>
          </w:tcPr>
          <w:p w:rsidR="00A0077F" w:rsidRPr="00CF7566" w:rsidRDefault="00121E78">
            <w:pPr>
              <w:spacing w:line="276" w:lineRule="auto"/>
              <w:jc w:val="center"/>
              <w:rPr>
                <w:rFonts w:ascii="宋体" w:hAnsi="宋体" w:cs="宋体"/>
                <w:bCs/>
                <w:sz w:val="21"/>
                <w:szCs w:val="16"/>
              </w:rPr>
            </w:pPr>
            <w:r w:rsidRPr="00CF7566">
              <w:rPr>
                <w:rFonts w:ascii="宋体" w:hAnsi="宋体" w:cs="宋体"/>
                <w:bCs/>
                <w:sz w:val="21"/>
                <w:szCs w:val="16"/>
              </w:rPr>
              <w:t>1</w:t>
            </w:r>
            <w:r w:rsidRPr="00CF7566">
              <w:rPr>
                <w:rFonts w:ascii="宋体" w:hAnsi="宋体" w:cs="宋体" w:hint="eastAsia"/>
                <w:bCs/>
                <w:sz w:val="21"/>
                <w:szCs w:val="16"/>
              </w:rPr>
              <w:t>-5</w:t>
            </w:r>
          </w:p>
        </w:tc>
      </w:tr>
    </w:tbl>
    <w:p w:rsidR="00A0077F" w:rsidRDefault="00A0077F">
      <w:pPr>
        <w:rPr>
          <w:rFonts w:ascii="宋体" w:hAnsi="宋体" w:cs="宋体"/>
        </w:rPr>
      </w:pPr>
    </w:p>
    <w:p w:rsidR="00A0077F" w:rsidRDefault="006B1C0A">
      <w:pPr>
        <w:spacing w:line="360" w:lineRule="auto"/>
        <w:ind w:firstLineChars="100" w:firstLine="211"/>
        <w:rPr>
          <w:rFonts w:ascii="宋体" w:hAnsi="宋体" w:cs="宋体"/>
          <w:b/>
          <w:color w:val="000000" w:themeColor="text1"/>
          <w:sz w:val="21"/>
          <w:szCs w:val="21"/>
        </w:rPr>
      </w:pPr>
      <w:r>
        <w:rPr>
          <w:rFonts w:ascii="宋体" w:hAnsi="宋体" w:cs="宋体" w:hint="eastAsia"/>
          <w:b/>
          <w:color w:val="000000" w:themeColor="text1"/>
          <w:sz w:val="21"/>
          <w:szCs w:val="21"/>
        </w:rPr>
        <w:t>3.2.3合成综合得分</w:t>
      </w:r>
    </w:p>
    <w:p w:rsidR="00A0077F" w:rsidRDefault="006B1C0A">
      <w:pPr>
        <w:spacing w:line="360" w:lineRule="auto"/>
        <w:ind w:firstLineChars="150" w:firstLine="315"/>
        <w:rPr>
          <w:rFonts w:ascii="宋体" w:hAnsi="宋体" w:cs="宋体"/>
          <w:color w:val="000000" w:themeColor="text1"/>
          <w:sz w:val="21"/>
          <w:szCs w:val="21"/>
        </w:rPr>
      </w:pPr>
      <w:r>
        <w:rPr>
          <w:rFonts w:ascii="宋体" w:hAnsi="宋体" w:cs="宋体" w:hint="eastAsia"/>
          <w:color w:val="000000" w:themeColor="text1"/>
          <w:sz w:val="21"/>
          <w:szCs w:val="21"/>
        </w:rPr>
        <w:t>投标人的综合得分为投标人商务部分、技术部分得分合计。评标委员会按评审后综合得分由高到低顺序排列对投标人进行排序，推荐给招标人。得分相同的，按投标报价由低到高顺序排列。得分且投标报价相同的，按技术响应优劣顺序排列。</w:t>
      </w:r>
    </w:p>
    <w:p w:rsidR="00A0077F" w:rsidRPr="00622D4E" w:rsidRDefault="00A0077F" w:rsidP="00622D4E">
      <w:pPr>
        <w:widowControl/>
        <w:adjustRightInd/>
        <w:spacing w:line="240" w:lineRule="auto"/>
        <w:jc w:val="left"/>
        <w:textAlignment w:val="auto"/>
        <w:rPr>
          <w:rFonts w:ascii="宋体" w:hAnsi="宋体" w:cs="宋体"/>
        </w:rPr>
      </w:pPr>
    </w:p>
    <w:sectPr w:rsidR="00A0077F" w:rsidRPr="00622D4E" w:rsidSect="00152A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E0" w:rsidRDefault="00AA02E0">
      <w:pPr>
        <w:spacing w:line="240" w:lineRule="auto"/>
      </w:pPr>
      <w:r>
        <w:separator/>
      </w:r>
    </w:p>
  </w:endnote>
  <w:endnote w:type="continuationSeparator" w:id="0">
    <w:p w:rsidR="00AA02E0" w:rsidRDefault="00AA02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E0" w:rsidRDefault="00AA02E0">
      <w:pPr>
        <w:spacing w:line="240" w:lineRule="auto"/>
      </w:pPr>
      <w:r>
        <w:separator/>
      </w:r>
    </w:p>
  </w:footnote>
  <w:footnote w:type="continuationSeparator" w:id="0">
    <w:p w:rsidR="00AA02E0" w:rsidRDefault="00AA02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A64"/>
    <w:multiLevelType w:val="hybridMultilevel"/>
    <w:tmpl w:val="1ED66E0A"/>
    <w:lvl w:ilvl="0" w:tplc="83C6D000">
      <w:start w:val="1"/>
      <w:numFmt w:val="decimalEnclosedCircle"/>
      <w:lvlText w:val="%1"/>
      <w:lvlJc w:val="left"/>
      <w:pPr>
        <w:ind w:left="465" w:hanging="360"/>
      </w:pPr>
      <w:rPr>
        <w:rFonts w:hint="default"/>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1">
    <w:nsid w:val="0A732136"/>
    <w:multiLevelType w:val="multilevel"/>
    <w:tmpl w:val="0A732136"/>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54945A8"/>
    <w:multiLevelType w:val="multilevel"/>
    <w:tmpl w:val="154945A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C9420CC"/>
    <w:multiLevelType w:val="multilevel"/>
    <w:tmpl w:val="1C9420CC"/>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0837B69"/>
    <w:multiLevelType w:val="multilevel"/>
    <w:tmpl w:val="20837B69"/>
    <w:lvl w:ilvl="0">
      <w:start w:val="1"/>
      <w:numFmt w:val="decimal"/>
      <w:lvlText w:val="%1."/>
      <w:lvlJc w:val="left"/>
      <w:pPr>
        <w:tabs>
          <w:tab w:val="left" w:pos="425"/>
        </w:tabs>
        <w:ind w:left="425" w:hanging="425"/>
      </w:pPr>
      <w:rPr>
        <w:rFonts w:cs="Times New Roman" w:hint="default"/>
      </w:rPr>
    </w:lvl>
    <w:lvl w:ilvl="1">
      <w:start w:val="1"/>
      <w:numFmt w:val="decimal"/>
      <w:lvlText w:val="%1.%2."/>
      <w:lvlJc w:val="left"/>
      <w:pPr>
        <w:tabs>
          <w:tab w:val="left" w:pos="1702"/>
        </w:tabs>
        <w:ind w:left="1702" w:hanging="567"/>
      </w:pPr>
      <w:rPr>
        <w:rFonts w:cs="Times New Roman" w:hint="default"/>
      </w:rPr>
    </w:lvl>
    <w:lvl w:ilvl="2">
      <w:start w:val="1"/>
      <w:numFmt w:val="decimal"/>
      <w:lvlText w:val="%1.%2.%3."/>
      <w:lvlJc w:val="left"/>
      <w:pPr>
        <w:tabs>
          <w:tab w:val="left" w:pos="709"/>
        </w:tabs>
        <w:ind w:left="709" w:hanging="709"/>
      </w:pPr>
      <w:rPr>
        <w:rFonts w:cs="Times New Roman" w:hint="default"/>
      </w:rPr>
    </w:lvl>
    <w:lvl w:ilvl="3">
      <w:start w:val="1"/>
      <w:numFmt w:val="decimal"/>
      <w:lvlText w:val="%1.%2.%3.%4."/>
      <w:lvlJc w:val="left"/>
      <w:pPr>
        <w:tabs>
          <w:tab w:val="left" w:pos="851"/>
        </w:tabs>
        <w:ind w:left="851" w:hanging="851"/>
      </w:pPr>
      <w:rPr>
        <w:rFonts w:cs="Times New Roman" w:hint="default"/>
      </w:rPr>
    </w:lvl>
    <w:lvl w:ilvl="4">
      <w:start w:val="1"/>
      <w:numFmt w:val="decimal"/>
      <w:lvlText w:val="%1.%2.%3.%4.%5."/>
      <w:lvlJc w:val="left"/>
      <w:pPr>
        <w:tabs>
          <w:tab w:val="left" w:pos="992"/>
        </w:tabs>
        <w:ind w:left="992" w:hanging="992"/>
      </w:pPr>
      <w:rPr>
        <w:rFonts w:cs="Times New Roman" w:hint="default"/>
      </w:rPr>
    </w:lvl>
    <w:lvl w:ilvl="5">
      <w:start w:val="1"/>
      <w:numFmt w:val="decimal"/>
      <w:lvlText w:val="%1.%2.%3.%4.%5.%6."/>
      <w:lvlJc w:val="left"/>
      <w:pPr>
        <w:tabs>
          <w:tab w:val="left" w:pos="1134"/>
        </w:tabs>
        <w:ind w:left="1134" w:hanging="1134"/>
      </w:pPr>
      <w:rPr>
        <w:rFonts w:cs="Times New Roman" w:hint="default"/>
      </w:rPr>
    </w:lvl>
    <w:lvl w:ilvl="6">
      <w:start w:val="1"/>
      <w:numFmt w:val="decimal"/>
      <w:lvlText w:val="%1.%2.%3.%4.%5.%6.%7."/>
      <w:lvlJc w:val="left"/>
      <w:pPr>
        <w:tabs>
          <w:tab w:val="left" w:pos="1276"/>
        </w:tabs>
        <w:ind w:left="1276" w:hanging="1276"/>
      </w:pPr>
      <w:rPr>
        <w:rFonts w:cs="Times New Roman" w:hint="default"/>
      </w:rPr>
    </w:lvl>
    <w:lvl w:ilvl="7">
      <w:start w:val="1"/>
      <w:numFmt w:val="decimal"/>
      <w:lvlText w:val="%1.%2.%3.%4.%5.%6.%7.%8."/>
      <w:lvlJc w:val="left"/>
      <w:pPr>
        <w:tabs>
          <w:tab w:val="left" w:pos="1418"/>
        </w:tabs>
        <w:ind w:left="1418" w:hanging="1418"/>
      </w:pPr>
      <w:rPr>
        <w:rFonts w:cs="Times New Roman" w:hint="default"/>
      </w:rPr>
    </w:lvl>
    <w:lvl w:ilvl="8">
      <w:start w:val="1"/>
      <w:numFmt w:val="decimal"/>
      <w:lvlText w:val="%1.%2.%3.%4.%5.%6.%7.%8.%9."/>
      <w:lvlJc w:val="left"/>
      <w:pPr>
        <w:tabs>
          <w:tab w:val="left" w:pos="1559"/>
        </w:tabs>
        <w:ind w:left="1559" w:hanging="1559"/>
      </w:pPr>
      <w:rPr>
        <w:rFonts w:cs="Times New Roman" w:hint="default"/>
      </w:rPr>
    </w:lvl>
  </w:abstractNum>
  <w:abstractNum w:abstractNumId="5">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AD15E9A"/>
    <w:multiLevelType w:val="multilevel"/>
    <w:tmpl w:val="2AD15E9A"/>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D215F70"/>
    <w:multiLevelType w:val="multilevel"/>
    <w:tmpl w:val="3D215F70"/>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248035D"/>
    <w:multiLevelType w:val="multilevel"/>
    <w:tmpl w:val="4248035D"/>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66C66B3"/>
    <w:multiLevelType w:val="multilevel"/>
    <w:tmpl w:val="466C66B3"/>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D7247B9"/>
    <w:multiLevelType w:val="multilevel"/>
    <w:tmpl w:val="4D7247B9"/>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FD43135"/>
    <w:multiLevelType w:val="multilevel"/>
    <w:tmpl w:val="4FD43135"/>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3220BD6"/>
    <w:multiLevelType w:val="multilevel"/>
    <w:tmpl w:val="53220BD6"/>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54C41A0E"/>
    <w:multiLevelType w:val="multilevel"/>
    <w:tmpl w:val="54C41A0E"/>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7D54552"/>
    <w:multiLevelType w:val="multilevel"/>
    <w:tmpl w:val="57D54552"/>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D862942"/>
    <w:multiLevelType w:val="multilevel"/>
    <w:tmpl w:val="5D862942"/>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4247425"/>
    <w:multiLevelType w:val="multilevel"/>
    <w:tmpl w:val="64247425"/>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0E715E"/>
    <w:multiLevelType w:val="multilevel"/>
    <w:tmpl w:val="660E715E"/>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6DDA0549"/>
    <w:multiLevelType w:val="multilevel"/>
    <w:tmpl w:val="6DDA0549"/>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7BFA093C"/>
    <w:multiLevelType w:val="multilevel"/>
    <w:tmpl w:val="7BFA093C"/>
    <w:lvl w:ilvl="0">
      <w:start w:val="1"/>
      <w:numFmt w:val="decimalEnclosedCircle"/>
      <w:lvlText w:val="%1"/>
      <w:lvlJc w:val="left"/>
      <w:pPr>
        <w:ind w:left="360" w:hanging="360"/>
      </w:pPr>
      <w:rPr>
        <w:rFonts w:ascii="宋体" w:hAnsi="宋体" w:cs="宋体" w:hint="default"/>
        <w:color w:val="000000" w:themeColor="text1"/>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CF51EF1"/>
    <w:multiLevelType w:val="multilevel"/>
    <w:tmpl w:val="7CF51EF1"/>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8"/>
  </w:num>
  <w:num w:numId="4">
    <w:abstractNumId w:val="10"/>
  </w:num>
  <w:num w:numId="5">
    <w:abstractNumId w:val="14"/>
  </w:num>
  <w:num w:numId="6">
    <w:abstractNumId w:val="16"/>
  </w:num>
  <w:num w:numId="7">
    <w:abstractNumId w:val="20"/>
  </w:num>
  <w:num w:numId="8">
    <w:abstractNumId w:val="7"/>
  </w:num>
  <w:num w:numId="9">
    <w:abstractNumId w:val="3"/>
  </w:num>
  <w:num w:numId="10">
    <w:abstractNumId w:val="6"/>
  </w:num>
  <w:num w:numId="11">
    <w:abstractNumId w:val="15"/>
  </w:num>
  <w:num w:numId="12">
    <w:abstractNumId w:val="13"/>
  </w:num>
  <w:num w:numId="13">
    <w:abstractNumId w:val="17"/>
  </w:num>
  <w:num w:numId="14">
    <w:abstractNumId w:val="18"/>
  </w:num>
  <w:num w:numId="15">
    <w:abstractNumId w:val="11"/>
  </w:num>
  <w:num w:numId="16">
    <w:abstractNumId w:val="9"/>
  </w:num>
  <w:num w:numId="17">
    <w:abstractNumId w:val="1"/>
  </w:num>
  <w:num w:numId="18">
    <w:abstractNumId w:val="19"/>
  </w:num>
  <w:num w:numId="19">
    <w:abstractNumId w:val="12"/>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383"/>
    <w:rsid w:val="99B5FBD3"/>
    <w:rsid w:val="9CF22E55"/>
    <w:rsid w:val="A123950B"/>
    <w:rsid w:val="AEF5A487"/>
    <w:rsid w:val="AFFD3F0B"/>
    <w:rsid w:val="B7FF5E8D"/>
    <w:rsid w:val="BFF71E0C"/>
    <w:rsid w:val="D6FDAA56"/>
    <w:rsid w:val="DA7D120A"/>
    <w:rsid w:val="DBDAED2A"/>
    <w:rsid w:val="DD2FCA66"/>
    <w:rsid w:val="DFAFAFC5"/>
    <w:rsid w:val="DFFF53DF"/>
    <w:rsid w:val="E1F79A47"/>
    <w:rsid w:val="E1FF45CD"/>
    <w:rsid w:val="EBDE7EAD"/>
    <w:rsid w:val="EDFFCE8C"/>
    <w:rsid w:val="EEDFC0B2"/>
    <w:rsid w:val="F7FDC5F9"/>
    <w:rsid w:val="FB7FC22A"/>
    <w:rsid w:val="FDAF53FA"/>
    <w:rsid w:val="FDBF5488"/>
    <w:rsid w:val="FDFC1EB3"/>
    <w:rsid w:val="FF27D55D"/>
    <w:rsid w:val="FF5F48CA"/>
    <w:rsid w:val="FFB74966"/>
    <w:rsid w:val="FFF3BD89"/>
    <w:rsid w:val="FFF9D7F4"/>
    <w:rsid w:val="FFFD4E1A"/>
    <w:rsid w:val="00011198"/>
    <w:rsid w:val="000457D1"/>
    <w:rsid w:val="0006418B"/>
    <w:rsid w:val="00097E8E"/>
    <w:rsid w:val="00121E78"/>
    <w:rsid w:val="0014234E"/>
    <w:rsid w:val="00152AAB"/>
    <w:rsid w:val="001B189E"/>
    <w:rsid w:val="001C0B4B"/>
    <w:rsid w:val="001E173A"/>
    <w:rsid w:val="002202BF"/>
    <w:rsid w:val="00222032"/>
    <w:rsid w:val="00237838"/>
    <w:rsid w:val="002F12D9"/>
    <w:rsid w:val="00307F94"/>
    <w:rsid w:val="00335C1F"/>
    <w:rsid w:val="00387DB7"/>
    <w:rsid w:val="003A76D6"/>
    <w:rsid w:val="003B77ED"/>
    <w:rsid w:val="00441C1C"/>
    <w:rsid w:val="0044757E"/>
    <w:rsid w:val="00483EE0"/>
    <w:rsid w:val="005B6572"/>
    <w:rsid w:val="005C3DB5"/>
    <w:rsid w:val="005C66F4"/>
    <w:rsid w:val="005E0BDC"/>
    <w:rsid w:val="00611EB5"/>
    <w:rsid w:val="00612D7C"/>
    <w:rsid w:val="0061545D"/>
    <w:rsid w:val="00622D4E"/>
    <w:rsid w:val="00631C0E"/>
    <w:rsid w:val="00640FCA"/>
    <w:rsid w:val="00671FD4"/>
    <w:rsid w:val="00685585"/>
    <w:rsid w:val="006967B4"/>
    <w:rsid w:val="006A4218"/>
    <w:rsid w:val="006B1C0A"/>
    <w:rsid w:val="006E22A5"/>
    <w:rsid w:val="00706EDB"/>
    <w:rsid w:val="00712288"/>
    <w:rsid w:val="00733178"/>
    <w:rsid w:val="007747F3"/>
    <w:rsid w:val="00784B20"/>
    <w:rsid w:val="007D0B1B"/>
    <w:rsid w:val="007D190A"/>
    <w:rsid w:val="0084681B"/>
    <w:rsid w:val="00851E35"/>
    <w:rsid w:val="009002AB"/>
    <w:rsid w:val="00910FDA"/>
    <w:rsid w:val="0093238D"/>
    <w:rsid w:val="00975F81"/>
    <w:rsid w:val="009F0390"/>
    <w:rsid w:val="00A0077F"/>
    <w:rsid w:val="00A106BD"/>
    <w:rsid w:val="00A45F20"/>
    <w:rsid w:val="00A77705"/>
    <w:rsid w:val="00A84383"/>
    <w:rsid w:val="00A92FB1"/>
    <w:rsid w:val="00AA02E0"/>
    <w:rsid w:val="00AA3720"/>
    <w:rsid w:val="00AF0294"/>
    <w:rsid w:val="00AF3D80"/>
    <w:rsid w:val="00B313F0"/>
    <w:rsid w:val="00B901C4"/>
    <w:rsid w:val="00BC1A10"/>
    <w:rsid w:val="00BD34B4"/>
    <w:rsid w:val="00BF35B8"/>
    <w:rsid w:val="00C234DC"/>
    <w:rsid w:val="00C33666"/>
    <w:rsid w:val="00CF0762"/>
    <w:rsid w:val="00CF7566"/>
    <w:rsid w:val="00D7181E"/>
    <w:rsid w:val="00DF2D26"/>
    <w:rsid w:val="00DF52A0"/>
    <w:rsid w:val="00E3451A"/>
    <w:rsid w:val="00E41C69"/>
    <w:rsid w:val="00E5550A"/>
    <w:rsid w:val="00E95A62"/>
    <w:rsid w:val="00ED6E68"/>
    <w:rsid w:val="00F9241D"/>
    <w:rsid w:val="00F9428E"/>
    <w:rsid w:val="00FA5C9C"/>
    <w:rsid w:val="00FD71D6"/>
    <w:rsid w:val="00FE2E38"/>
    <w:rsid w:val="26C50576"/>
    <w:rsid w:val="2BD9A23A"/>
    <w:rsid w:val="372EAFD0"/>
    <w:rsid w:val="37E7BABB"/>
    <w:rsid w:val="37EB5CDE"/>
    <w:rsid w:val="37FE618A"/>
    <w:rsid w:val="3D7FFA08"/>
    <w:rsid w:val="3E7BE5D7"/>
    <w:rsid w:val="3F2F9F60"/>
    <w:rsid w:val="4FFBD973"/>
    <w:rsid w:val="57FFE30E"/>
    <w:rsid w:val="5CE53EE5"/>
    <w:rsid w:val="5FFF4B8E"/>
    <w:rsid w:val="6FD2810A"/>
    <w:rsid w:val="6FE75756"/>
    <w:rsid w:val="73FF5CED"/>
    <w:rsid w:val="76DFC2B1"/>
    <w:rsid w:val="77BDF481"/>
    <w:rsid w:val="77FE8AAB"/>
    <w:rsid w:val="7BB54B82"/>
    <w:rsid w:val="7E768791"/>
    <w:rsid w:val="7EBEF4F7"/>
    <w:rsid w:val="7FDC35CA"/>
    <w:rsid w:val="7FFF1CCC"/>
    <w:rsid w:val="7FFF38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52AAB"/>
    <w:pPr>
      <w:widowControl w:val="0"/>
      <w:adjustRightInd w:val="0"/>
      <w:spacing w:line="312" w:lineRule="atLeast"/>
      <w:jc w:val="both"/>
      <w:textAlignment w:val="baseline"/>
    </w:pPr>
    <w:rPr>
      <w:rFonts w:ascii="Times New Roman" w:eastAsia="宋体" w:hAnsi="Times New Roman" w:cs="Times New Roman"/>
      <w:sz w:val="24"/>
    </w:rPr>
  </w:style>
  <w:style w:type="paragraph" w:styleId="1">
    <w:name w:val="heading 1"/>
    <w:basedOn w:val="a"/>
    <w:next w:val="a"/>
    <w:link w:val="1Char"/>
    <w:uiPriority w:val="9"/>
    <w:qFormat/>
    <w:rsid w:val="00152AAB"/>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152AAB"/>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52AAB"/>
    <w:pPr>
      <w:keepNext/>
      <w:keepLines/>
      <w:spacing w:before="260" w:after="260" w:line="416" w:lineRule="atLeast"/>
      <w:outlineLvl w:val="2"/>
    </w:pPr>
    <w:rPr>
      <w:b/>
      <w:bCs/>
      <w:sz w:val="32"/>
      <w:szCs w:val="32"/>
    </w:rPr>
  </w:style>
  <w:style w:type="paragraph" w:styleId="4">
    <w:name w:val="heading 4"/>
    <w:basedOn w:val="a"/>
    <w:next w:val="a"/>
    <w:link w:val="4Char"/>
    <w:uiPriority w:val="9"/>
    <w:semiHidden/>
    <w:unhideWhenUsed/>
    <w:qFormat/>
    <w:rsid w:val="00152AAB"/>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rsid w:val="00152AAB"/>
    <w:pPr>
      <w:spacing w:before="240" w:after="60"/>
      <w:jc w:val="center"/>
      <w:outlineLvl w:val="0"/>
    </w:pPr>
    <w:rPr>
      <w:rFonts w:asciiTheme="majorHAnsi" w:eastAsiaTheme="majorEastAsia" w:hAnsiTheme="majorHAnsi" w:cstheme="majorBidi"/>
      <w:b/>
      <w:bCs/>
      <w:sz w:val="32"/>
      <w:szCs w:val="32"/>
    </w:rPr>
  </w:style>
  <w:style w:type="paragraph" w:styleId="a4">
    <w:name w:val="Normal Indent"/>
    <w:basedOn w:val="a"/>
    <w:link w:val="Char0"/>
    <w:unhideWhenUsed/>
    <w:qFormat/>
    <w:rsid w:val="00152AAB"/>
    <w:pPr>
      <w:adjustRightInd/>
      <w:spacing w:line="240" w:lineRule="auto"/>
      <w:ind w:firstLineChars="200" w:firstLine="420"/>
      <w:textAlignment w:val="auto"/>
    </w:pPr>
    <w:rPr>
      <w:kern w:val="2"/>
      <w:sz w:val="21"/>
      <w:szCs w:val="24"/>
    </w:rPr>
  </w:style>
  <w:style w:type="paragraph" w:styleId="a5">
    <w:name w:val="Normal (Web)"/>
    <w:basedOn w:val="a"/>
    <w:uiPriority w:val="99"/>
    <w:rsid w:val="00152AAB"/>
    <w:pPr>
      <w:widowControl/>
      <w:adjustRightInd/>
      <w:spacing w:before="100" w:beforeAutospacing="1" w:after="100" w:afterAutospacing="1" w:line="240" w:lineRule="auto"/>
      <w:jc w:val="left"/>
      <w:textAlignment w:val="auto"/>
    </w:pPr>
    <w:rPr>
      <w:rFonts w:ascii="宋体" w:hAnsi="宋体" w:cs="宋体"/>
      <w:szCs w:val="24"/>
    </w:rPr>
  </w:style>
  <w:style w:type="character" w:customStyle="1" w:styleId="Char">
    <w:name w:val="标题 Char"/>
    <w:basedOn w:val="a1"/>
    <w:link w:val="a0"/>
    <w:uiPriority w:val="10"/>
    <w:rsid w:val="00152AAB"/>
    <w:rPr>
      <w:rFonts w:asciiTheme="majorHAnsi" w:eastAsiaTheme="majorEastAsia" w:hAnsiTheme="majorHAnsi" w:cstheme="majorBidi"/>
      <w:b/>
      <w:bCs/>
      <w:kern w:val="0"/>
      <w:sz w:val="32"/>
      <w:szCs w:val="32"/>
    </w:rPr>
  </w:style>
  <w:style w:type="character" w:customStyle="1" w:styleId="2Char">
    <w:name w:val="标题 2 Char"/>
    <w:basedOn w:val="a1"/>
    <w:link w:val="2"/>
    <w:uiPriority w:val="9"/>
    <w:rsid w:val="00152AAB"/>
    <w:rPr>
      <w:rFonts w:asciiTheme="majorHAnsi" w:eastAsiaTheme="majorEastAsia" w:hAnsiTheme="majorHAnsi" w:cstheme="majorBidi"/>
      <w:b/>
      <w:bCs/>
      <w:kern w:val="0"/>
      <w:sz w:val="32"/>
      <w:szCs w:val="32"/>
    </w:rPr>
  </w:style>
  <w:style w:type="character" w:customStyle="1" w:styleId="1Char">
    <w:name w:val="标题 1 Char"/>
    <w:basedOn w:val="a1"/>
    <w:link w:val="1"/>
    <w:uiPriority w:val="9"/>
    <w:rsid w:val="00152AAB"/>
    <w:rPr>
      <w:rFonts w:ascii="Times New Roman" w:eastAsia="宋体" w:hAnsi="Times New Roman" w:cs="Times New Roman"/>
      <w:b/>
      <w:bCs/>
      <w:kern w:val="44"/>
      <w:sz w:val="44"/>
      <w:szCs w:val="44"/>
    </w:rPr>
  </w:style>
  <w:style w:type="paragraph" w:customStyle="1" w:styleId="TableParagraph">
    <w:name w:val="Table Paragraph"/>
    <w:basedOn w:val="a"/>
    <w:uiPriority w:val="1"/>
    <w:qFormat/>
    <w:rsid w:val="00152AAB"/>
    <w:pPr>
      <w:autoSpaceDE w:val="0"/>
      <w:autoSpaceDN w:val="0"/>
      <w:adjustRightInd/>
      <w:spacing w:line="240" w:lineRule="auto"/>
      <w:jc w:val="left"/>
      <w:textAlignment w:val="auto"/>
    </w:pPr>
    <w:rPr>
      <w:rFonts w:ascii="仿宋" w:eastAsia="仿宋" w:hAnsi="仿宋" w:cs="仿宋"/>
      <w:sz w:val="22"/>
      <w:szCs w:val="24"/>
      <w:lang w:val="zh-CN" w:bidi="zh-CN"/>
    </w:rPr>
  </w:style>
  <w:style w:type="paragraph" w:customStyle="1" w:styleId="Normal1">
    <w:name w:val="Normal_1"/>
    <w:qFormat/>
    <w:rsid w:val="00152AAB"/>
    <w:pPr>
      <w:widowControl w:val="0"/>
      <w:jc w:val="both"/>
    </w:pPr>
    <w:rPr>
      <w:rFonts w:ascii="Times New Roman" w:eastAsia="宋体" w:hAnsi="Times New Roman" w:cs="Times New Roman"/>
      <w:kern w:val="2"/>
      <w:sz w:val="21"/>
      <w:szCs w:val="21"/>
    </w:rPr>
  </w:style>
  <w:style w:type="character" w:customStyle="1" w:styleId="Char0">
    <w:name w:val="正文缩进 Char"/>
    <w:link w:val="a4"/>
    <w:qFormat/>
    <w:rsid w:val="00152AAB"/>
    <w:rPr>
      <w:rFonts w:ascii="Times New Roman" w:eastAsia="宋体" w:hAnsi="Times New Roman" w:cs="Times New Roman"/>
    </w:rPr>
  </w:style>
  <w:style w:type="paragraph" w:styleId="a6">
    <w:name w:val="List Paragraph"/>
    <w:basedOn w:val="a"/>
    <w:uiPriority w:val="34"/>
    <w:qFormat/>
    <w:rsid w:val="00152AAB"/>
    <w:pPr>
      <w:adjustRightInd/>
      <w:spacing w:line="240" w:lineRule="auto"/>
      <w:ind w:firstLineChars="200" w:firstLine="420"/>
      <w:textAlignment w:val="auto"/>
    </w:pPr>
    <w:rPr>
      <w:kern w:val="2"/>
      <w:sz w:val="21"/>
      <w:szCs w:val="24"/>
    </w:rPr>
  </w:style>
  <w:style w:type="character" w:customStyle="1" w:styleId="3Char">
    <w:name w:val="标题 3 Char"/>
    <w:basedOn w:val="a1"/>
    <w:link w:val="3"/>
    <w:uiPriority w:val="9"/>
    <w:rsid w:val="00152AAB"/>
    <w:rPr>
      <w:rFonts w:ascii="Times New Roman" w:eastAsia="宋体" w:hAnsi="Times New Roman" w:cs="Times New Roman"/>
      <w:b/>
      <w:bCs/>
      <w:kern w:val="0"/>
      <w:sz w:val="32"/>
      <w:szCs w:val="32"/>
    </w:rPr>
  </w:style>
  <w:style w:type="paragraph" w:customStyle="1" w:styleId="FA">
    <w:name w:val="FA正文"/>
    <w:basedOn w:val="a"/>
    <w:link w:val="FACharChar"/>
    <w:rsid w:val="00152AAB"/>
    <w:pPr>
      <w:keepNext/>
      <w:adjustRightInd/>
      <w:spacing w:line="360" w:lineRule="auto"/>
      <w:ind w:firstLineChars="200" w:firstLine="480"/>
      <w:jc w:val="left"/>
      <w:textAlignment w:val="auto"/>
    </w:pPr>
    <w:rPr>
      <w:rFonts w:hAnsi="宋体"/>
      <w:kern w:val="2"/>
      <w:szCs w:val="21"/>
    </w:rPr>
  </w:style>
  <w:style w:type="character" w:customStyle="1" w:styleId="FACharChar">
    <w:name w:val="FA正文 Char Char"/>
    <w:link w:val="FA"/>
    <w:rsid w:val="00152AAB"/>
    <w:rPr>
      <w:rFonts w:ascii="Times New Roman" w:eastAsia="宋体" w:hAnsi="宋体" w:cs="Times New Roman"/>
      <w:sz w:val="24"/>
      <w:szCs w:val="21"/>
    </w:rPr>
  </w:style>
  <w:style w:type="character" w:customStyle="1" w:styleId="4Char">
    <w:name w:val="标题 4 Char"/>
    <w:basedOn w:val="a1"/>
    <w:link w:val="4"/>
    <w:uiPriority w:val="9"/>
    <w:semiHidden/>
    <w:rsid w:val="00152AAB"/>
    <w:rPr>
      <w:rFonts w:asciiTheme="majorHAnsi" w:eastAsiaTheme="majorEastAsia" w:hAnsiTheme="majorHAnsi" w:cstheme="majorBidi"/>
      <w:b/>
      <w:bCs/>
      <w:kern w:val="0"/>
      <w:sz w:val="28"/>
      <w:szCs w:val="28"/>
    </w:rPr>
  </w:style>
  <w:style w:type="paragraph" w:styleId="a7">
    <w:name w:val="header"/>
    <w:basedOn w:val="a"/>
    <w:link w:val="Char1"/>
    <w:uiPriority w:val="99"/>
    <w:unhideWhenUsed/>
    <w:rsid w:val="00622D4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1"/>
    <w:link w:val="a7"/>
    <w:uiPriority w:val="99"/>
    <w:rsid w:val="00622D4E"/>
    <w:rPr>
      <w:rFonts w:ascii="Times New Roman" w:eastAsia="宋体" w:hAnsi="Times New Roman" w:cs="Times New Roman"/>
      <w:sz w:val="18"/>
      <w:szCs w:val="18"/>
    </w:rPr>
  </w:style>
  <w:style w:type="paragraph" w:styleId="a8">
    <w:name w:val="footer"/>
    <w:basedOn w:val="a"/>
    <w:link w:val="Char2"/>
    <w:uiPriority w:val="99"/>
    <w:unhideWhenUsed/>
    <w:rsid w:val="00622D4E"/>
    <w:pPr>
      <w:tabs>
        <w:tab w:val="center" w:pos="4153"/>
        <w:tab w:val="right" w:pos="8306"/>
      </w:tabs>
      <w:snapToGrid w:val="0"/>
      <w:spacing w:line="240" w:lineRule="atLeast"/>
      <w:jc w:val="left"/>
    </w:pPr>
    <w:rPr>
      <w:sz w:val="18"/>
      <w:szCs w:val="18"/>
    </w:rPr>
  </w:style>
  <w:style w:type="character" w:customStyle="1" w:styleId="Char2">
    <w:name w:val="页脚 Char"/>
    <w:basedOn w:val="a1"/>
    <w:link w:val="a8"/>
    <w:uiPriority w:val="99"/>
    <w:rsid w:val="00622D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卞伟民</cp:lastModifiedBy>
  <cp:revision>4</cp:revision>
  <dcterms:created xsi:type="dcterms:W3CDTF">2023-07-14T02:56:00Z</dcterms:created>
  <dcterms:modified xsi:type="dcterms:W3CDTF">2023-07-17T02:52:00Z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