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8E" w:rsidRDefault="008E7D8E">
      <w:pPr>
        <w:rPr>
          <w:rFonts w:ascii="黑体" w:eastAsia="黑体" w:hAnsi="黑体"/>
          <w:sz w:val="32"/>
          <w:szCs w:val="32"/>
        </w:rPr>
      </w:pPr>
    </w:p>
    <w:p w:rsidR="00FD4457" w:rsidRPr="00FD4457" w:rsidRDefault="00FD4457" w:rsidP="00FD4457">
      <w:pPr>
        <w:jc w:val="center"/>
        <w:rPr>
          <w:rFonts w:ascii="黑体" w:eastAsia="黑体"/>
          <w:b/>
          <w:sz w:val="32"/>
          <w:szCs w:val="32"/>
        </w:rPr>
      </w:pPr>
      <w:r w:rsidRPr="00FD4457">
        <w:rPr>
          <w:rFonts w:ascii="黑体" w:eastAsia="黑体" w:hint="eastAsia"/>
          <w:b/>
          <w:sz w:val="32"/>
          <w:szCs w:val="32"/>
        </w:rPr>
        <w:t>SMG</w:t>
      </w:r>
      <w:r>
        <w:rPr>
          <w:rFonts w:ascii="黑体" w:eastAsia="黑体" w:hint="eastAsia"/>
          <w:b/>
          <w:sz w:val="32"/>
          <w:szCs w:val="32"/>
        </w:rPr>
        <w:t xml:space="preserve"> </w:t>
      </w:r>
      <w:r w:rsidRPr="00FD4457">
        <w:rPr>
          <w:rFonts w:ascii="黑体" w:eastAsia="黑体" w:hint="eastAsia"/>
          <w:b/>
          <w:sz w:val="32"/>
          <w:szCs w:val="32"/>
        </w:rPr>
        <w:t>20</w:t>
      </w:r>
      <w:r w:rsidRPr="00FD4457">
        <w:rPr>
          <w:rFonts w:ascii="黑体" w:eastAsia="黑体"/>
          <w:b/>
          <w:sz w:val="32"/>
          <w:szCs w:val="32"/>
        </w:rPr>
        <w:t>24</w:t>
      </w:r>
      <w:r w:rsidRPr="00FD4457">
        <w:rPr>
          <w:rFonts w:ascii="黑体" w:eastAsia="黑体" w:hint="eastAsia"/>
          <w:b/>
          <w:sz w:val="32"/>
          <w:szCs w:val="32"/>
        </w:rPr>
        <w:t>年电气防火检测服务评分表</w:t>
      </w:r>
    </w:p>
    <w:p w:rsidR="008E7D8E" w:rsidRDefault="008E7D8E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3140"/>
        <w:gridCol w:w="704"/>
        <w:gridCol w:w="690"/>
        <w:gridCol w:w="826"/>
        <w:gridCol w:w="690"/>
        <w:gridCol w:w="736"/>
        <w:gridCol w:w="692"/>
      </w:tblGrid>
      <w:tr w:rsidR="008E7D8E" w:rsidTr="0022288D">
        <w:trPr>
          <w:jc w:val="center"/>
        </w:trPr>
        <w:tc>
          <w:tcPr>
            <w:tcW w:w="3958" w:type="dxa"/>
            <w:gridSpan w:val="2"/>
            <w:shd w:val="clear" w:color="auto" w:fill="auto"/>
          </w:tcPr>
          <w:p w:rsidR="008E7D8E" w:rsidRDefault="00602B1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704" w:type="dxa"/>
            <w:shd w:val="clear" w:color="auto" w:fill="auto"/>
          </w:tcPr>
          <w:p w:rsidR="008E7D8E" w:rsidRDefault="00602B1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评标</w:t>
            </w:r>
          </w:p>
          <w:p w:rsidR="008E7D8E" w:rsidRDefault="00602B1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690" w:type="dxa"/>
            <w:shd w:val="clear" w:color="auto" w:fill="auto"/>
          </w:tcPr>
          <w:p w:rsidR="008E7D8E" w:rsidRDefault="008E7D8E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081BAE" w:rsidTr="00081BAE">
        <w:trPr>
          <w:trHeight w:val="625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81BAE" w:rsidRDefault="00081B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</w:p>
          <w:p w:rsidR="00081BAE" w:rsidRDefault="00081B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</w:t>
            </w:r>
          </w:p>
          <w:p w:rsidR="00081BAE" w:rsidRDefault="00081B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3140" w:type="dxa"/>
            <w:shd w:val="clear" w:color="auto" w:fill="auto"/>
          </w:tcPr>
          <w:p w:rsidR="00081BAE" w:rsidRDefault="00081BAE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证照齐全</w:t>
            </w:r>
          </w:p>
        </w:tc>
        <w:tc>
          <w:tcPr>
            <w:tcW w:w="704" w:type="dxa"/>
            <w:shd w:val="clear" w:color="auto" w:fill="auto"/>
          </w:tcPr>
          <w:p w:rsidR="00081BAE" w:rsidRDefault="00081BA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</w:tr>
      <w:tr w:rsidR="00081BAE" w:rsidTr="0022288D">
        <w:trPr>
          <w:trHeight w:val="625"/>
          <w:jc w:val="center"/>
        </w:trPr>
        <w:tc>
          <w:tcPr>
            <w:tcW w:w="818" w:type="dxa"/>
            <w:vMerge/>
            <w:shd w:val="clear" w:color="auto" w:fill="auto"/>
          </w:tcPr>
          <w:p w:rsidR="00081BAE" w:rsidRDefault="00081B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081BAE" w:rsidRDefault="00081BAE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公司规模</w:t>
            </w:r>
          </w:p>
        </w:tc>
        <w:tc>
          <w:tcPr>
            <w:tcW w:w="704" w:type="dxa"/>
            <w:shd w:val="clear" w:color="auto" w:fill="auto"/>
          </w:tcPr>
          <w:p w:rsidR="00081BAE" w:rsidRDefault="00081BA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</w:tr>
      <w:tr w:rsidR="00081BAE" w:rsidTr="0022288D">
        <w:trPr>
          <w:trHeight w:val="625"/>
          <w:jc w:val="center"/>
        </w:trPr>
        <w:tc>
          <w:tcPr>
            <w:tcW w:w="818" w:type="dxa"/>
            <w:vMerge/>
            <w:shd w:val="clear" w:color="auto" w:fill="auto"/>
          </w:tcPr>
          <w:p w:rsidR="00081BAE" w:rsidRDefault="00081B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081BAE" w:rsidRDefault="00081BAE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技术团队</w:t>
            </w:r>
          </w:p>
        </w:tc>
        <w:tc>
          <w:tcPr>
            <w:tcW w:w="704" w:type="dxa"/>
            <w:shd w:val="clear" w:color="auto" w:fill="auto"/>
          </w:tcPr>
          <w:p w:rsidR="00081BAE" w:rsidRDefault="00081BA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</w:tr>
      <w:tr w:rsidR="00081BAE" w:rsidTr="0022288D">
        <w:trPr>
          <w:trHeight w:val="625"/>
          <w:jc w:val="center"/>
        </w:trPr>
        <w:tc>
          <w:tcPr>
            <w:tcW w:w="818" w:type="dxa"/>
            <w:vMerge/>
            <w:shd w:val="clear" w:color="auto" w:fill="auto"/>
          </w:tcPr>
          <w:p w:rsidR="00081BAE" w:rsidRDefault="00081B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081BAE" w:rsidRDefault="00081BAE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同业经验</w:t>
            </w:r>
          </w:p>
        </w:tc>
        <w:tc>
          <w:tcPr>
            <w:tcW w:w="704" w:type="dxa"/>
            <w:shd w:val="clear" w:color="auto" w:fill="auto"/>
          </w:tcPr>
          <w:p w:rsidR="00081BAE" w:rsidRDefault="00081BA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</w:tr>
      <w:tr w:rsidR="0022288D" w:rsidTr="0022288D">
        <w:trPr>
          <w:trHeight w:val="625"/>
          <w:jc w:val="center"/>
        </w:trPr>
        <w:tc>
          <w:tcPr>
            <w:tcW w:w="818" w:type="dxa"/>
            <w:vMerge w:val="restart"/>
            <w:shd w:val="clear" w:color="auto" w:fill="auto"/>
          </w:tcPr>
          <w:p w:rsidR="0022288D" w:rsidRDefault="002228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22288D" w:rsidRDefault="0022288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</w:t>
            </w:r>
          </w:p>
          <w:p w:rsidR="0022288D" w:rsidRDefault="0022288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</w:t>
            </w:r>
          </w:p>
          <w:p w:rsidR="0022288D" w:rsidRDefault="0022288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22288D" w:rsidRDefault="0022288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22288D" w:rsidRDefault="0022288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方案完整性</w:t>
            </w:r>
          </w:p>
        </w:tc>
        <w:tc>
          <w:tcPr>
            <w:tcW w:w="704" w:type="dxa"/>
            <w:shd w:val="clear" w:color="auto" w:fill="auto"/>
          </w:tcPr>
          <w:p w:rsidR="0022288D" w:rsidRDefault="00B31D8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</w:tr>
      <w:tr w:rsidR="0022288D" w:rsidTr="0022288D">
        <w:trPr>
          <w:trHeight w:val="625"/>
          <w:jc w:val="center"/>
        </w:trPr>
        <w:tc>
          <w:tcPr>
            <w:tcW w:w="818" w:type="dxa"/>
            <w:vMerge/>
            <w:shd w:val="clear" w:color="auto" w:fill="auto"/>
          </w:tcPr>
          <w:p w:rsidR="0022288D" w:rsidRDefault="002228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22288D" w:rsidRDefault="0022288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检测方法及程序的合理性</w:t>
            </w:r>
          </w:p>
        </w:tc>
        <w:tc>
          <w:tcPr>
            <w:tcW w:w="704" w:type="dxa"/>
            <w:shd w:val="clear" w:color="auto" w:fill="auto"/>
          </w:tcPr>
          <w:p w:rsidR="0022288D" w:rsidRDefault="00483D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</w:tr>
      <w:tr w:rsidR="0022288D" w:rsidTr="0022288D">
        <w:trPr>
          <w:trHeight w:val="625"/>
          <w:jc w:val="center"/>
        </w:trPr>
        <w:tc>
          <w:tcPr>
            <w:tcW w:w="818" w:type="dxa"/>
            <w:vMerge/>
            <w:shd w:val="clear" w:color="auto" w:fill="auto"/>
          </w:tcPr>
          <w:p w:rsidR="0022288D" w:rsidRDefault="002228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22288D" w:rsidRDefault="0022288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安全管控措施的有效性</w:t>
            </w:r>
          </w:p>
        </w:tc>
        <w:tc>
          <w:tcPr>
            <w:tcW w:w="704" w:type="dxa"/>
            <w:shd w:val="clear" w:color="auto" w:fill="auto"/>
          </w:tcPr>
          <w:p w:rsidR="0022288D" w:rsidRDefault="00AE4E7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</w:tr>
      <w:tr w:rsidR="0022288D" w:rsidTr="0022288D">
        <w:trPr>
          <w:trHeight w:val="625"/>
          <w:jc w:val="center"/>
        </w:trPr>
        <w:tc>
          <w:tcPr>
            <w:tcW w:w="818" w:type="dxa"/>
            <w:vMerge/>
            <w:shd w:val="clear" w:color="auto" w:fill="auto"/>
          </w:tcPr>
          <w:p w:rsidR="0022288D" w:rsidRDefault="002228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22288D" w:rsidRDefault="0022288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具体检测项目</w:t>
            </w:r>
          </w:p>
        </w:tc>
        <w:tc>
          <w:tcPr>
            <w:tcW w:w="704" w:type="dxa"/>
            <w:shd w:val="clear" w:color="auto" w:fill="auto"/>
          </w:tcPr>
          <w:p w:rsidR="0022288D" w:rsidRDefault="002228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F86C9E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</w:tr>
      <w:tr w:rsidR="0022288D" w:rsidTr="0022288D">
        <w:trPr>
          <w:trHeight w:val="625"/>
          <w:jc w:val="center"/>
        </w:trPr>
        <w:tc>
          <w:tcPr>
            <w:tcW w:w="818" w:type="dxa"/>
            <w:vMerge/>
            <w:shd w:val="clear" w:color="auto" w:fill="auto"/>
          </w:tcPr>
          <w:p w:rsidR="0022288D" w:rsidRDefault="002228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22288D" w:rsidRDefault="0022288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培训服务内容</w:t>
            </w:r>
          </w:p>
        </w:tc>
        <w:tc>
          <w:tcPr>
            <w:tcW w:w="704" w:type="dxa"/>
            <w:shd w:val="clear" w:color="auto" w:fill="auto"/>
          </w:tcPr>
          <w:p w:rsidR="0022288D" w:rsidRDefault="002228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</w:tr>
      <w:tr w:rsidR="008E7D8E" w:rsidTr="0022288D">
        <w:trPr>
          <w:jc w:val="center"/>
        </w:trPr>
        <w:tc>
          <w:tcPr>
            <w:tcW w:w="3958" w:type="dxa"/>
            <w:gridSpan w:val="2"/>
            <w:shd w:val="clear" w:color="auto" w:fill="auto"/>
          </w:tcPr>
          <w:p w:rsidR="008E7D8E" w:rsidRDefault="00602B12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价格分（</w:t>
            </w:r>
            <w:r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取各有效投标人的评标价的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平均值</w:t>
            </w:r>
            <w:r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作为基准价，各单位的评标价在此基准线的得分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为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3</w:t>
            </w:r>
            <w:r w:rsidR="00443052">
              <w:rPr>
                <w:rFonts w:ascii="宋体" w:hAnsi="宋体"/>
                <w:b/>
                <w:color w:val="000000"/>
                <w:szCs w:val="21"/>
              </w:rPr>
              <w:t>0</w:t>
            </w:r>
            <w:r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分，其他评标价每上升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5</w:t>
            </w:r>
            <w:r>
              <w:rPr>
                <w:rFonts w:ascii="宋体" w:eastAsia="等线" w:hAnsi="宋体" w:cs="Times New Roman"/>
                <w:b/>
                <w:color w:val="000000"/>
                <w:szCs w:val="21"/>
              </w:rPr>
              <w:t>%</w:t>
            </w:r>
            <w:r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扣</w:t>
            </w:r>
            <w:r>
              <w:rPr>
                <w:rFonts w:ascii="宋体" w:eastAsia="等线" w:hAnsi="宋体" w:cs="Times New Roman"/>
                <w:b/>
                <w:color w:val="000000"/>
                <w:szCs w:val="21"/>
              </w:rPr>
              <w:t>1</w:t>
            </w:r>
            <w:r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分，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下降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5</w:t>
            </w:r>
            <w:r w:rsidR="00443052">
              <w:rPr>
                <w:rFonts w:ascii="宋体" w:eastAsia="等线" w:hAnsi="宋体" w:cs="Times New Roman"/>
                <w:b/>
                <w:color w:val="000000"/>
                <w:szCs w:val="21"/>
              </w:rPr>
              <w:t>%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加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1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分，</w:t>
            </w:r>
            <w:r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中间采用内插法，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最高加至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4</w:t>
            </w:r>
            <w:r w:rsidR="00443052">
              <w:rPr>
                <w:rFonts w:ascii="宋体" w:eastAsia="等线" w:hAnsi="宋体" w:cs="Times New Roman"/>
                <w:b/>
                <w:color w:val="000000"/>
                <w:szCs w:val="21"/>
              </w:rPr>
              <w:t>0</w:t>
            </w:r>
            <w:r w:rsidR="005D4414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分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，</w:t>
            </w:r>
            <w:r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最低扣至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2</w:t>
            </w:r>
            <w:r>
              <w:rPr>
                <w:rFonts w:ascii="宋体" w:eastAsia="等线" w:hAnsi="宋体" w:cs="Times New Roman"/>
                <w:b/>
                <w:color w:val="000000"/>
                <w:szCs w:val="21"/>
              </w:rPr>
              <w:t>0</w:t>
            </w:r>
            <w:r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分为止（小数点保留二位）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04" w:type="dxa"/>
            <w:shd w:val="clear" w:color="auto" w:fill="auto"/>
          </w:tcPr>
          <w:p w:rsidR="008E7D8E" w:rsidRDefault="008E7D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8E7D8E" w:rsidRDefault="008E7D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8E7D8E" w:rsidRDefault="00F86C9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690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E7D8E" w:rsidTr="0022288D">
        <w:trPr>
          <w:trHeight w:val="233"/>
          <w:jc w:val="center"/>
        </w:trPr>
        <w:tc>
          <w:tcPr>
            <w:tcW w:w="3958" w:type="dxa"/>
            <w:gridSpan w:val="2"/>
            <w:shd w:val="clear" w:color="auto" w:fill="auto"/>
          </w:tcPr>
          <w:p w:rsidR="008E7D8E" w:rsidRDefault="00602B12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704" w:type="dxa"/>
            <w:shd w:val="clear" w:color="auto" w:fill="auto"/>
          </w:tcPr>
          <w:p w:rsidR="008E7D8E" w:rsidRDefault="00602B1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:rsidR="008E7D8E" w:rsidRDefault="008E7D8E">
      <w:pPr>
        <w:spacing w:line="500" w:lineRule="exact"/>
        <w:rPr>
          <w:rFonts w:ascii="仿宋" w:eastAsia="仿宋" w:hAnsi="仿宋"/>
          <w:sz w:val="28"/>
          <w:szCs w:val="28"/>
        </w:rPr>
      </w:pPr>
    </w:p>
    <w:sectPr w:rsidR="008E7D8E" w:rsidSect="008E7D8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56E" w:rsidRDefault="00E9356E" w:rsidP="008E7D8E">
      <w:r>
        <w:separator/>
      </w:r>
    </w:p>
  </w:endnote>
  <w:endnote w:type="continuationSeparator" w:id="0">
    <w:p w:rsidR="00E9356E" w:rsidRDefault="00E9356E" w:rsidP="008E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E" w:rsidRDefault="008E7D8E">
    <w:pPr>
      <w:pStyle w:val="a4"/>
      <w:jc w:val="center"/>
    </w:pPr>
  </w:p>
  <w:p w:rsidR="008E7D8E" w:rsidRDefault="008E7D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E" w:rsidRDefault="008E7D8E">
    <w:pPr>
      <w:pStyle w:val="a4"/>
    </w:pPr>
  </w:p>
  <w:p w:rsidR="008E7D8E" w:rsidRDefault="008E7D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56E" w:rsidRDefault="00E9356E" w:rsidP="008E7D8E">
      <w:r>
        <w:separator/>
      </w:r>
    </w:p>
  </w:footnote>
  <w:footnote w:type="continuationSeparator" w:id="0">
    <w:p w:rsidR="00E9356E" w:rsidRDefault="00E9356E" w:rsidP="008E7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12B"/>
    <w:rsid w:val="00002692"/>
    <w:rsid w:val="000149A4"/>
    <w:rsid w:val="000337D0"/>
    <w:rsid w:val="00033F85"/>
    <w:rsid w:val="000375FA"/>
    <w:rsid w:val="00062D15"/>
    <w:rsid w:val="0007636C"/>
    <w:rsid w:val="00081BAE"/>
    <w:rsid w:val="000832DB"/>
    <w:rsid w:val="0017673F"/>
    <w:rsid w:val="00185B1F"/>
    <w:rsid w:val="00186518"/>
    <w:rsid w:val="001A751E"/>
    <w:rsid w:val="001D034D"/>
    <w:rsid w:val="001D1DA6"/>
    <w:rsid w:val="001F5878"/>
    <w:rsid w:val="00207F48"/>
    <w:rsid w:val="00217DE6"/>
    <w:rsid w:val="0022288D"/>
    <w:rsid w:val="00277982"/>
    <w:rsid w:val="002D16CE"/>
    <w:rsid w:val="002E119A"/>
    <w:rsid w:val="002F57FF"/>
    <w:rsid w:val="00300413"/>
    <w:rsid w:val="0030234D"/>
    <w:rsid w:val="003166D8"/>
    <w:rsid w:val="00372C9F"/>
    <w:rsid w:val="003E7647"/>
    <w:rsid w:val="0040615A"/>
    <w:rsid w:val="00420F55"/>
    <w:rsid w:val="00431C13"/>
    <w:rsid w:val="00443052"/>
    <w:rsid w:val="004576C8"/>
    <w:rsid w:val="00483D8E"/>
    <w:rsid w:val="00486B1C"/>
    <w:rsid w:val="004A0187"/>
    <w:rsid w:val="004B1AA6"/>
    <w:rsid w:val="004C3EF5"/>
    <w:rsid w:val="004D0A39"/>
    <w:rsid w:val="004D787A"/>
    <w:rsid w:val="00510CA7"/>
    <w:rsid w:val="005126CF"/>
    <w:rsid w:val="00516C07"/>
    <w:rsid w:val="00536572"/>
    <w:rsid w:val="00560399"/>
    <w:rsid w:val="005C53FB"/>
    <w:rsid w:val="005D4414"/>
    <w:rsid w:val="005E2295"/>
    <w:rsid w:val="00602B12"/>
    <w:rsid w:val="0062590E"/>
    <w:rsid w:val="00647C85"/>
    <w:rsid w:val="00661096"/>
    <w:rsid w:val="006937D4"/>
    <w:rsid w:val="006B1C67"/>
    <w:rsid w:val="006B765A"/>
    <w:rsid w:val="006E20EC"/>
    <w:rsid w:val="006E4EBA"/>
    <w:rsid w:val="006E5E36"/>
    <w:rsid w:val="0070624C"/>
    <w:rsid w:val="007215FF"/>
    <w:rsid w:val="007434A6"/>
    <w:rsid w:val="00764FB2"/>
    <w:rsid w:val="007A0C80"/>
    <w:rsid w:val="007A469A"/>
    <w:rsid w:val="007A66F4"/>
    <w:rsid w:val="007C41C1"/>
    <w:rsid w:val="007D5CB3"/>
    <w:rsid w:val="00821C11"/>
    <w:rsid w:val="00830C11"/>
    <w:rsid w:val="008458F2"/>
    <w:rsid w:val="00847593"/>
    <w:rsid w:val="00852A56"/>
    <w:rsid w:val="00853C65"/>
    <w:rsid w:val="00874DB0"/>
    <w:rsid w:val="008750F0"/>
    <w:rsid w:val="00877225"/>
    <w:rsid w:val="00882AB2"/>
    <w:rsid w:val="00885B55"/>
    <w:rsid w:val="008A5486"/>
    <w:rsid w:val="008A6E3D"/>
    <w:rsid w:val="008B60AF"/>
    <w:rsid w:val="008B6BF5"/>
    <w:rsid w:val="008B7CDD"/>
    <w:rsid w:val="008D2ADF"/>
    <w:rsid w:val="008E7D8E"/>
    <w:rsid w:val="00943CE5"/>
    <w:rsid w:val="00944593"/>
    <w:rsid w:val="009511DC"/>
    <w:rsid w:val="00985923"/>
    <w:rsid w:val="00991404"/>
    <w:rsid w:val="009F71AB"/>
    <w:rsid w:val="00A01510"/>
    <w:rsid w:val="00A40B54"/>
    <w:rsid w:val="00A70CD1"/>
    <w:rsid w:val="00A8312B"/>
    <w:rsid w:val="00AE3093"/>
    <w:rsid w:val="00AE4E76"/>
    <w:rsid w:val="00AF28B4"/>
    <w:rsid w:val="00AF50CB"/>
    <w:rsid w:val="00B31D83"/>
    <w:rsid w:val="00B45CB0"/>
    <w:rsid w:val="00B57B87"/>
    <w:rsid w:val="00B6176A"/>
    <w:rsid w:val="00B729A4"/>
    <w:rsid w:val="00B9047F"/>
    <w:rsid w:val="00BB72B8"/>
    <w:rsid w:val="00BF2D07"/>
    <w:rsid w:val="00C23D41"/>
    <w:rsid w:val="00C30224"/>
    <w:rsid w:val="00C526AD"/>
    <w:rsid w:val="00C750E7"/>
    <w:rsid w:val="00C9581C"/>
    <w:rsid w:val="00D03BF0"/>
    <w:rsid w:val="00D42E70"/>
    <w:rsid w:val="00D772E3"/>
    <w:rsid w:val="00D96536"/>
    <w:rsid w:val="00DA51BE"/>
    <w:rsid w:val="00DA7DD9"/>
    <w:rsid w:val="00DB5DF0"/>
    <w:rsid w:val="00DC6C63"/>
    <w:rsid w:val="00E170C1"/>
    <w:rsid w:val="00E24276"/>
    <w:rsid w:val="00E517A4"/>
    <w:rsid w:val="00E67F30"/>
    <w:rsid w:val="00E81018"/>
    <w:rsid w:val="00E9356E"/>
    <w:rsid w:val="00EC1595"/>
    <w:rsid w:val="00ED2A44"/>
    <w:rsid w:val="00ED6545"/>
    <w:rsid w:val="00EE3B55"/>
    <w:rsid w:val="00EE6BCB"/>
    <w:rsid w:val="00EF462D"/>
    <w:rsid w:val="00F06E38"/>
    <w:rsid w:val="00F1103C"/>
    <w:rsid w:val="00F25D96"/>
    <w:rsid w:val="00F4457E"/>
    <w:rsid w:val="00F86C9E"/>
    <w:rsid w:val="00FA0826"/>
    <w:rsid w:val="00FA4299"/>
    <w:rsid w:val="00FA4F44"/>
    <w:rsid w:val="00FB2CB2"/>
    <w:rsid w:val="00FC3847"/>
    <w:rsid w:val="00FC5913"/>
    <w:rsid w:val="00FD4457"/>
    <w:rsid w:val="00FD498C"/>
    <w:rsid w:val="41155983"/>
    <w:rsid w:val="5AC9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8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E7D8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E7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E7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E7D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rsid w:val="008E7D8E"/>
    <w:rPr>
      <w:color w:val="0000FF"/>
      <w:u w:val="single"/>
    </w:rPr>
  </w:style>
  <w:style w:type="character" w:customStyle="1" w:styleId="1Char">
    <w:name w:val="标题 1 Char"/>
    <w:basedOn w:val="a0"/>
    <w:link w:val="1"/>
    <w:rsid w:val="008E7D8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rsid w:val="008E7D8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E7D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E7D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7FFA20-1FFF-4F83-AB6B-E7E5ED83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佳树</dc:creator>
  <cp:lastModifiedBy>卞伟民</cp:lastModifiedBy>
  <cp:revision>2</cp:revision>
  <dcterms:created xsi:type="dcterms:W3CDTF">2024-06-14T03:01:00Z</dcterms:created>
  <dcterms:modified xsi:type="dcterms:W3CDTF">2024-06-14T03:01:00Z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