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44" w:rsidRDefault="00602A44"/>
    <w:p w:rsidR="00602A44" w:rsidRDefault="00633E92">
      <w:pPr>
        <w:spacing w:line="360" w:lineRule="auto"/>
        <w:ind w:left="840" w:firstLine="420"/>
        <w:rPr>
          <w:rFonts w:ascii="楷体_GB2312" w:eastAsia="楷体_GB2312"/>
          <w:b/>
          <w:bCs/>
          <w:color w:val="000000"/>
          <w:sz w:val="32"/>
          <w:u w:val="single"/>
        </w:rPr>
      </w:pPr>
      <w:r>
        <w:rPr>
          <w:rFonts w:ascii="楷体_GB2312" w:eastAsia="楷体_GB2312" w:hint="eastAsia"/>
          <w:b/>
          <w:bCs/>
          <w:color w:val="000000"/>
          <w:sz w:val="32"/>
        </w:rPr>
        <w:t>E-Learning</w:t>
      </w:r>
      <w:r>
        <w:rPr>
          <w:rFonts w:ascii="楷体_GB2312" w:eastAsia="楷体_GB2312" w:hint="eastAsia"/>
          <w:b/>
          <w:bCs/>
          <w:color w:val="000000"/>
          <w:sz w:val="32"/>
        </w:rPr>
        <w:t>云课堂培训系统软件开发项目（三期）</w:t>
      </w:r>
      <w:bookmarkStart w:id="0" w:name="_GoBack"/>
      <w:bookmarkEnd w:id="0"/>
    </w:p>
    <w:p w:rsidR="00602A44" w:rsidRDefault="00602A44"/>
    <w:p w:rsidR="00602A44" w:rsidRDefault="00633E92">
      <w:pPr>
        <w:pStyle w:val="a3"/>
        <w:spacing w:line="360" w:lineRule="auto"/>
        <w:contextualSpacing/>
        <w:rPr>
          <w:sz w:val="24"/>
          <w:szCs w:val="18"/>
        </w:rPr>
      </w:pPr>
      <w:r>
        <w:rPr>
          <w:rFonts w:hint="eastAsia"/>
          <w:sz w:val="24"/>
          <w:szCs w:val="18"/>
        </w:rPr>
        <w:t>评分标准办法：</w:t>
      </w:r>
    </w:p>
    <w:p w:rsidR="00602A44" w:rsidRDefault="00633E92">
      <w:pPr>
        <w:spacing w:line="360" w:lineRule="auto"/>
        <w:contextualSpacing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ascii="宋体" w:hAnsi="宋体" w:hint="eastAsia"/>
        </w:rPr>
        <w:t>商务标</w:t>
      </w:r>
      <w:r>
        <w:rPr>
          <w:rFonts w:ascii="宋体" w:hAnsi="宋体" w:hint="eastAsia"/>
        </w:rPr>
        <w:t xml:space="preserve"> 50</w:t>
      </w:r>
      <w:r>
        <w:rPr>
          <w:rFonts w:ascii="宋体" w:hAnsi="宋体" w:hint="eastAsia"/>
        </w:rPr>
        <w:t>分</w:t>
      </w:r>
    </w:p>
    <w:p w:rsidR="00602A44" w:rsidRDefault="00633E92">
      <w:pPr>
        <w:pStyle w:val="10"/>
        <w:spacing w:line="360" w:lineRule="auto"/>
        <w:ind w:leftChars="171" w:left="41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商务标价格分为</w:t>
      </w:r>
      <w:r>
        <w:rPr>
          <w:rFonts w:ascii="宋体" w:hAnsi="宋体" w:hint="eastAsia"/>
          <w:sz w:val="24"/>
        </w:rPr>
        <w:t>50</w:t>
      </w:r>
      <w:r>
        <w:rPr>
          <w:rFonts w:ascii="宋体" w:hAnsi="宋体" w:hint="eastAsia"/>
          <w:sz w:val="24"/>
        </w:rPr>
        <w:t>分，拟采用合理基准加减法的评分办法，即以各有效投标人的平均报价作为基准价，得基准分</w:t>
      </w:r>
      <w:r>
        <w:rPr>
          <w:rFonts w:ascii="宋体" w:hAnsi="宋体" w:hint="eastAsia"/>
          <w:sz w:val="24"/>
        </w:rPr>
        <w:t>4</w:t>
      </w:r>
      <w:r w:rsidR="00EF2043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分，在此基础上，若投标单位商务评审价比基准价每上升</w:t>
      </w:r>
      <w:r>
        <w:rPr>
          <w:rFonts w:ascii="宋体" w:hAnsi="宋体" w:hint="eastAsia"/>
          <w:sz w:val="24"/>
        </w:rPr>
        <w:t>1%</w:t>
      </w:r>
      <w:r>
        <w:rPr>
          <w:rFonts w:ascii="宋体" w:hAnsi="宋体" w:hint="eastAsia"/>
          <w:sz w:val="24"/>
        </w:rPr>
        <w:t>，扣</w:t>
      </w:r>
      <w:r>
        <w:rPr>
          <w:rFonts w:ascii="宋体" w:hAnsi="宋体" w:hint="eastAsia"/>
          <w:sz w:val="24"/>
        </w:rPr>
        <w:t>0.5</w:t>
      </w:r>
      <w:r>
        <w:rPr>
          <w:rFonts w:ascii="宋体" w:hAnsi="宋体" w:hint="eastAsia"/>
          <w:sz w:val="24"/>
        </w:rPr>
        <w:t>分，最多减至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分，每下降</w:t>
      </w:r>
      <w:r>
        <w:rPr>
          <w:rFonts w:ascii="宋体" w:hAnsi="宋体" w:hint="eastAsia"/>
          <w:sz w:val="24"/>
        </w:rPr>
        <w:t>1%</w:t>
      </w:r>
      <w:r>
        <w:rPr>
          <w:rFonts w:ascii="宋体" w:hAnsi="宋体" w:hint="eastAsia"/>
          <w:sz w:val="24"/>
        </w:rPr>
        <w:t>，加</w:t>
      </w:r>
      <w:r>
        <w:rPr>
          <w:rFonts w:ascii="宋体" w:hAnsi="宋体" w:hint="eastAsia"/>
          <w:sz w:val="24"/>
        </w:rPr>
        <w:t>0.5</w:t>
      </w:r>
      <w:r>
        <w:rPr>
          <w:rFonts w:ascii="宋体" w:hAnsi="宋体" w:hint="eastAsia"/>
          <w:sz w:val="24"/>
        </w:rPr>
        <w:t>分，最多加至</w:t>
      </w:r>
      <w:r>
        <w:rPr>
          <w:rFonts w:ascii="宋体" w:hAnsi="宋体" w:hint="eastAsia"/>
          <w:sz w:val="24"/>
        </w:rPr>
        <w:t>50</w:t>
      </w:r>
      <w:r>
        <w:rPr>
          <w:rFonts w:ascii="宋体" w:hAnsi="宋体" w:hint="eastAsia"/>
          <w:sz w:val="24"/>
        </w:rPr>
        <w:t>分。</w:t>
      </w:r>
    </w:p>
    <w:p w:rsidR="00602A44" w:rsidRDefault="00633E92">
      <w:pPr>
        <w:spacing w:line="360" w:lineRule="auto"/>
        <w:contextualSpacing/>
        <w:rPr>
          <w:b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ascii="宋体" w:hAnsi="宋体" w:hint="eastAsia"/>
        </w:rPr>
        <w:t>技术标评审</w:t>
      </w:r>
      <w:r>
        <w:rPr>
          <w:rFonts w:ascii="宋体" w:hAnsi="宋体" w:hint="eastAsia"/>
        </w:rPr>
        <w:t>50</w:t>
      </w:r>
      <w:r>
        <w:rPr>
          <w:rFonts w:ascii="宋体" w:hAnsi="宋体" w:hint="eastAsia"/>
        </w:rPr>
        <w:t>分，</w:t>
      </w:r>
      <w:proofErr w:type="gramStart"/>
      <w:r>
        <w:rPr>
          <w:rFonts w:ascii="宋体" w:hAnsi="宋体" w:hint="eastAsia"/>
        </w:rPr>
        <w:t>技术标由专家</w:t>
      </w:r>
      <w:proofErr w:type="gramEnd"/>
      <w:r>
        <w:rPr>
          <w:rFonts w:ascii="宋体" w:hAnsi="宋体" w:hint="eastAsia"/>
        </w:rPr>
        <w:t>评委逐一进行评审并打分。</w:t>
      </w:r>
    </w:p>
    <w:p w:rsidR="00602A44" w:rsidRDefault="00633E92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 w:hint="eastAsia"/>
          <w:bCs/>
        </w:rPr>
        <w:t>评分明细</w:t>
      </w: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293"/>
        <w:gridCol w:w="6229"/>
        <w:gridCol w:w="846"/>
      </w:tblGrid>
      <w:tr w:rsidR="00602A44">
        <w:trPr>
          <w:trHeight w:val="20"/>
        </w:trPr>
        <w:tc>
          <w:tcPr>
            <w:tcW w:w="663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93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评估要素</w:t>
            </w:r>
          </w:p>
        </w:tc>
        <w:tc>
          <w:tcPr>
            <w:tcW w:w="6229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主要评估内容</w:t>
            </w:r>
          </w:p>
        </w:tc>
        <w:tc>
          <w:tcPr>
            <w:tcW w:w="846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得分</w:t>
            </w:r>
          </w:p>
        </w:tc>
      </w:tr>
      <w:tr w:rsidR="00602A44">
        <w:trPr>
          <w:trHeight w:val="20"/>
        </w:trPr>
        <w:tc>
          <w:tcPr>
            <w:tcW w:w="663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3" w:type="dxa"/>
            <w:vAlign w:val="center"/>
          </w:tcPr>
          <w:p w:rsidR="00602A44" w:rsidRDefault="00633E92">
            <w:pPr>
              <w:spacing w:line="360" w:lineRule="exac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软件开发的需求满足或匹配情况</w:t>
            </w:r>
          </w:p>
        </w:tc>
        <w:tc>
          <w:tcPr>
            <w:tcW w:w="6229" w:type="dxa"/>
            <w:vAlign w:val="center"/>
          </w:tcPr>
          <w:p w:rsidR="00602A44" w:rsidRDefault="00633E92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软件能否满足预定使用需求，软件的适用性、可靠性、兼容性、安全性等</w:t>
            </w:r>
          </w:p>
        </w:tc>
        <w:tc>
          <w:tcPr>
            <w:tcW w:w="846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0-15</w:t>
            </w:r>
          </w:p>
        </w:tc>
      </w:tr>
      <w:tr w:rsidR="00602A44">
        <w:trPr>
          <w:trHeight w:val="20"/>
        </w:trPr>
        <w:tc>
          <w:tcPr>
            <w:tcW w:w="663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3" w:type="dxa"/>
            <w:vAlign w:val="center"/>
          </w:tcPr>
          <w:p w:rsidR="00602A44" w:rsidRDefault="00633E92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软件开发与台、集团现有系统的兼容互通</w:t>
            </w:r>
          </w:p>
        </w:tc>
        <w:tc>
          <w:tcPr>
            <w:tcW w:w="6229" w:type="dxa"/>
            <w:vAlign w:val="center"/>
          </w:tcPr>
          <w:p w:rsidR="00602A44" w:rsidRDefault="00633E92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软件开发与台、集团现有系统的互通可扩展性，便于后续迭代与台、集团相关系统的互联互通</w:t>
            </w:r>
          </w:p>
        </w:tc>
        <w:tc>
          <w:tcPr>
            <w:tcW w:w="846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0-10</w:t>
            </w:r>
          </w:p>
        </w:tc>
      </w:tr>
      <w:tr w:rsidR="00602A44">
        <w:trPr>
          <w:trHeight w:val="20"/>
        </w:trPr>
        <w:tc>
          <w:tcPr>
            <w:tcW w:w="663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vAlign w:val="center"/>
          </w:tcPr>
          <w:p w:rsidR="00602A44" w:rsidRDefault="00633E92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软件开发实现的基础与经验</w:t>
            </w:r>
          </w:p>
        </w:tc>
        <w:tc>
          <w:tcPr>
            <w:tcW w:w="6229" w:type="dxa"/>
            <w:vAlign w:val="center"/>
          </w:tcPr>
          <w:p w:rsidR="00602A44" w:rsidRDefault="00633E92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对功能的软件开发，应有一定基础、有开发经验，或能够在已有版本上进行迭代开发</w:t>
            </w:r>
          </w:p>
        </w:tc>
        <w:tc>
          <w:tcPr>
            <w:tcW w:w="846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0-10</w:t>
            </w:r>
          </w:p>
        </w:tc>
      </w:tr>
      <w:tr w:rsidR="00602A44">
        <w:trPr>
          <w:trHeight w:val="20"/>
        </w:trPr>
        <w:tc>
          <w:tcPr>
            <w:tcW w:w="663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3" w:type="dxa"/>
            <w:vAlign w:val="center"/>
          </w:tcPr>
          <w:p w:rsidR="00602A44" w:rsidRDefault="00633E92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投标方的综合服务能力</w:t>
            </w:r>
          </w:p>
        </w:tc>
        <w:tc>
          <w:tcPr>
            <w:tcW w:w="6229" w:type="dxa"/>
            <w:vAlign w:val="center"/>
          </w:tcPr>
          <w:p w:rsidR="00602A44" w:rsidRDefault="00633E92">
            <w:pPr>
              <w:spacing w:line="36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系统测试调试交付能力、项目实施方案、售后服务保障方案和应急服务措施和响应能力</w:t>
            </w:r>
          </w:p>
        </w:tc>
        <w:tc>
          <w:tcPr>
            <w:tcW w:w="846" w:type="dxa"/>
            <w:vAlign w:val="center"/>
          </w:tcPr>
          <w:p w:rsidR="00602A44" w:rsidRDefault="00633E92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0-15</w:t>
            </w:r>
          </w:p>
        </w:tc>
      </w:tr>
    </w:tbl>
    <w:p w:rsidR="00602A44" w:rsidRDefault="00602A44">
      <w:pPr>
        <w:spacing w:line="500" w:lineRule="exact"/>
        <w:contextualSpacing/>
        <w:rPr>
          <w:rFonts w:ascii="宋体" w:hAnsi="宋体"/>
        </w:rPr>
      </w:pPr>
    </w:p>
    <w:p w:rsidR="00602A44" w:rsidRDefault="00633E92">
      <w:pPr>
        <w:spacing w:line="500" w:lineRule="exact"/>
        <w:contextualSpacing/>
        <w:rPr>
          <w:rStyle w:val="a6"/>
          <w:rFonts w:ascii="宋体" w:hAnsi="宋体"/>
          <w:bCs/>
          <w:sz w:val="48"/>
          <w:szCs w:val="48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）总得分＝商务标得分</w:t>
      </w:r>
      <w:r>
        <w:rPr>
          <w:rFonts w:ascii="宋体" w:hAnsi="宋体" w:hint="eastAsia"/>
        </w:rPr>
        <w:t>+</w:t>
      </w:r>
      <w:r>
        <w:rPr>
          <w:rFonts w:ascii="宋体" w:hAnsi="宋体" w:hint="eastAsia"/>
        </w:rPr>
        <w:t>技术标得分</w:t>
      </w:r>
    </w:p>
    <w:p w:rsidR="00602A44" w:rsidRDefault="00602A44"/>
    <w:p w:rsidR="00602A44" w:rsidRDefault="00602A44"/>
    <w:p w:rsidR="00602A44" w:rsidRDefault="00602A44"/>
    <w:p w:rsidR="00602A44" w:rsidRDefault="00602A44"/>
    <w:p w:rsidR="00602A44" w:rsidRDefault="00602A44"/>
    <w:sectPr w:rsidR="00602A44" w:rsidSect="00602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92" w:rsidRDefault="00633E92">
      <w:pPr>
        <w:spacing w:line="240" w:lineRule="auto"/>
      </w:pPr>
      <w:r>
        <w:separator/>
      </w:r>
    </w:p>
  </w:endnote>
  <w:endnote w:type="continuationSeparator" w:id="0">
    <w:p w:rsidR="00633E92" w:rsidRDefault="0063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92" w:rsidRDefault="00633E92">
      <w:pPr>
        <w:spacing w:line="240" w:lineRule="auto"/>
      </w:pPr>
      <w:r>
        <w:separator/>
      </w:r>
    </w:p>
  </w:footnote>
  <w:footnote w:type="continuationSeparator" w:id="0">
    <w:p w:rsidR="00633E92" w:rsidRDefault="00633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7C8"/>
    <w:rsid w:val="00102ADB"/>
    <w:rsid w:val="00123BD1"/>
    <w:rsid w:val="001833B7"/>
    <w:rsid w:val="001A0B28"/>
    <w:rsid w:val="001A6FD0"/>
    <w:rsid w:val="001A7A9C"/>
    <w:rsid w:val="001C6D5F"/>
    <w:rsid w:val="001F5375"/>
    <w:rsid w:val="002A6076"/>
    <w:rsid w:val="002E732C"/>
    <w:rsid w:val="00354875"/>
    <w:rsid w:val="00365E0A"/>
    <w:rsid w:val="003A2E81"/>
    <w:rsid w:val="004477A4"/>
    <w:rsid w:val="004A5F4A"/>
    <w:rsid w:val="004B317B"/>
    <w:rsid w:val="00527F84"/>
    <w:rsid w:val="005D2D82"/>
    <w:rsid w:val="00600589"/>
    <w:rsid w:val="00602A44"/>
    <w:rsid w:val="00633E92"/>
    <w:rsid w:val="00634155"/>
    <w:rsid w:val="006B6881"/>
    <w:rsid w:val="006B77C8"/>
    <w:rsid w:val="006C4CF2"/>
    <w:rsid w:val="00787169"/>
    <w:rsid w:val="007903A8"/>
    <w:rsid w:val="007B65ED"/>
    <w:rsid w:val="007C3A9D"/>
    <w:rsid w:val="007D1F18"/>
    <w:rsid w:val="008017C9"/>
    <w:rsid w:val="00871898"/>
    <w:rsid w:val="00895F6C"/>
    <w:rsid w:val="008C4FFA"/>
    <w:rsid w:val="008C7D21"/>
    <w:rsid w:val="00995206"/>
    <w:rsid w:val="00A75EA3"/>
    <w:rsid w:val="00AB3BE5"/>
    <w:rsid w:val="00B02837"/>
    <w:rsid w:val="00B1019A"/>
    <w:rsid w:val="00BD7C78"/>
    <w:rsid w:val="00BF29E3"/>
    <w:rsid w:val="00BF30B3"/>
    <w:rsid w:val="00BF5E9D"/>
    <w:rsid w:val="00C0002F"/>
    <w:rsid w:val="00C26E33"/>
    <w:rsid w:val="00C810B9"/>
    <w:rsid w:val="00CB6731"/>
    <w:rsid w:val="00D0532E"/>
    <w:rsid w:val="00D06D3C"/>
    <w:rsid w:val="00D93EC6"/>
    <w:rsid w:val="00DE1C9A"/>
    <w:rsid w:val="00E213A1"/>
    <w:rsid w:val="00EC6CC2"/>
    <w:rsid w:val="00EF2043"/>
    <w:rsid w:val="00F87797"/>
    <w:rsid w:val="00FC4299"/>
    <w:rsid w:val="00FD759A"/>
    <w:rsid w:val="0DA3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4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Char"/>
    <w:qFormat/>
    <w:rsid w:val="00602A44"/>
    <w:pPr>
      <w:keepNext/>
      <w:adjustRightInd/>
      <w:spacing w:line="360" w:lineRule="auto"/>
      <w:jc w:val="center"/>
      <w:textAlignment w:val="auto"/>
      <w:outlineLvl w:val="0"/>
    </w:pPr>
    <w:rPr>
      <w:rFonts w:eastAsia="仿宋_GB2312"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02A44"/>
    <w:pPr>
      <w:adjustRightInd/>
      <w:spacing w:line="240" w:lineRule="auto"/>
      <w:textAlignment w:val="auto"/>
    </w:pPr>
    <w:rPr>
      <w:rFonts w:ascii="宋体" w:eastAsiaTheme="minorEastAsia" w:hAnsi="Courier New" w:cstheme="minorBidi"/>
      <w:kern w:val="2"/>
      <w:sz w:val="21"/>
      <w:szCs w:val="22"/>
    </w:rPr>
  </w:style>
  <w:style w:type="paragraph" w:styleId="a4">
    <w:name w:val="footer"/>
    <w:basedOn w:val="a"/>
    <w:link w:val="Char0"/>
    <w:uiPriority w:val="99"/>
    <w:unhideWhenUsed/>
    <w:rsid w:val="0060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02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602A4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602A4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A44"/>
    <w:rPr>
      <w:sz w:val="18"/>
      <w:szCs w:val="18"/>
    </w:rPr>
  </w:style>
  <w:style w:type="character" w:customStyle="1" w:styleId="1Char">
    <w:name w:val="标题 1 Char"/>
    <w:basedOn w:val="a0"/>
    <w:link w:val="1"/>
    <w:rsid w:val="00602A44"/>
    <w:rPr>
      <w:rFonts w:ascii="Times New Roman" w:eastAsia="仿宋_GB2312" w:hAnsi="Times New Roman" w:cs="Times New Roman"/>
      <w:bCs/>
      <w:sz w:val="32"/>
      <w:szCs w:val="24"/>
    </w:rPr>
  </w:style>
  <w:style w:type="character" w:customStyle="1" w:styleId="Char">
    <w:name w:val="纯文本 Char"/>
    <w:link w:val="a3"/>
    <w:rsid w:val="00602A44"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rsid w:val="00602A44"/>
    <w:rPr>
      <w:rFonts w:ascii="宋体" w:eastAsia="宋体" w:hAnsi="Courier New" w:cs="Courier New"/>
      <w:kern w:val="0"/>
      <w:szCs w:val="21"/>
    </w:rPr>
  </w:style>
  <w:style w:type="paragraph" w:customStyle="1" w:styleId="10">
    <w:name w:val="列出段落1"/>
    <w:basedOn w:val="a"/>
    <w:rsid w:val="00602A44"/>
    <w:pPr>
      <w:adjustRightInd/>
      <w:spacing w:line="240" w:lineRule="auto"/>
      <w:ind w:firstLineChars="200" w:firstLine="420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hudechang</dc:creator>
  <cp:lastModifiedBy>卞伟民</cp:lastModifiedBy>
  <cp:revision>15</cp:revision>
  <dcterms:created xsi:type="dcterms:W3CDTF">2020-05-08T03:09:00Z</dcterms:created>
  <dcterms:modified xsi:type="dcterms:W3CDTF">2021-06-18T07:36:00Z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0F6A84B5EB0045E482B961414D768E22</vt:lpwstr>
  </property>
</Properties>
</file>