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9" w:rsidRDefault="00E659B9">
      <w:pPr>
        <w:spacing w:line="276" w:lineRule="auto"/>
        <w:ind w:left="96" w:firstLineChars="200" w:firstLine="420"/>
        <w:rPr>
          <w:rFonts w:ascii="宋体" w:eastAsia="宋体" w:hAnsi="宋体"/>
          <w:szCs w:val="21"/>
        </w:rPr>
      </w:pPr>
    </w:p>
    <w:p w:rsidR="00E659B9" w:rsidRDefault="00E659B9">
      <w:pPr>
        <w:spacing w:line="276" w:lineRule="auto"/>
        <w:ind w:left="96" w:firstLineChars="200" w:firstLine="420"/>
        <w:rPr>
          <w:rFonts w:ascii="宋体" w:eastAsia="宋体" w:hAnsi="宋体"/>
          <w:szCs w:val="21"/>
        </w:rPr>
      </w:pPr>
    </w:p>
    <w:p w:rsidR="00E659B9" w:rsidRDefault="00CC6ED9">
      <w:pPr>
        <w:tabs>
          <w:tab w:val="left" w:pos="0"/>
          <w:tab w:val="left" w:pos="1134"/>
        </w:tabs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上视大</w:t>
      </w:r>
      <w:r w:rsidR="00F135B3">
        <w:rPr>
          <w:rFonts w:ascii="宋体" w:eastAsia="宋体" w:hAnsi="宋体" w:hint="eastAsia"/>
          <w:b/>
          <w:sz w:val="24"/>
        </w:rPr>
        <w:t>厦</w:t>
      </w:r>
      <w:r>
        <w:rPr>
          <w:rFonts w:ascii="宋体" w:eastAsia="宋体" w:hAnsi="宋体" w:hint="eastAsia"/>
          <w:b/>
          <w:sz w:val="24"/>
        </w:rPr>
        <w:t>咖啡</w:t>
      </w:r>
      <w:r w:rsidR="00880513">
        <w:rPr>
          <w:rFonts w:ascii="宋体" w:eastAsia="宋体" w:hAnsi="宋体" w:hint="eastAsia"/>
          <w:b/>
          <w:sz w:val="24"/>
        </w:rPr>
        <w:t>吧招租项目评分方法</w:t>
      </w:r>
    </w:p>
    <w:tbl>
      <w:tblPr>
        <w:tblW w:w="9503" w:type="dxa"/>
        <w:tblInd w:w="-588" w:type="dxa"/>
        <w:tblLook w:val="04A0"/>
      </w:tblPr>
      <w:tblGrid>
        <w:gridCol w:w="1000"/>
        <w:gridCol w:w="2200"/>
        <w:gridCol w:w="5434"/>
        <w:gridCol w:w="869"/>
      </w:tblGrid>
      <w:tr w:rsidR="00E659B9">
        <w:trPr>
          <w:trHeight w:val="58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内容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说明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分值</w:t>
            </w:r>
          </w:p>
        </w:tc>
      </w:tr>
      <w:tr w:rsidR="00E659B9" w:rsidTr="00880513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综合服务要求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运营模式契合程度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进驻式服务、节假日值守等需求（所产生的人力成本和相关成本由投标企业负责）人员配备整齐且合理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659B9">
        <w:trPr>
          <w:trHeight w:val="79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服务产品类型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满足基本咖啡需求；同时提供各种多元化方案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880513">
        <w:trPr>
          <w:trHeight w:val="64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13" w:rsidRDefault="0088051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13" w:rsidRDefault="00880513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服务质量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13" w:rsidRDefault="0088051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规章制度、食品安全制度齐全</w:t>
            </w:r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13" w:rsidRDefault="00880513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4</w:t>
            </w:r>
          </w:p>
        </w:tc>
      </w:tr>
      <w:tr w:rsidR="00880513">
        <w:trPr>
          <w:trHeight w:val="69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13" w:rsidRDefault="0088051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13" w:rsidRDefault="00880513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13" w:rsidRDefault="0088051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咖啡吧内日常保洁、商品摆放陈列等管理方案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13" w:rsidRDefault="00880513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4</w:t>
            </w:r>
          </w:p>
        </w:tc>
      </w:tr>
      <w:tr w:rsidR="00E659B9">
        <w:trPr>
          <w:trHeight w:val="82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费用的合理性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种类费用价格合理，公开透明，能够提供价格优化方案为佳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15</w:t>
            </w:r>
          </w:p>
        </w:tc>
      </w:tr>
      <w:tr w:rsidR="00E659B9">
        <w:trPr>
          <w:trHeight w:val="78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应急预案的完备程度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能够为特殊情况包括食物中毒、疫情防控等提供应急响应方案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659B9">
        <w:trPr>
          <w:trHeight w:val="739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整体装修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与SMG品牌及大堂风格整体布局的贴合度；承担区域的日常维护与装修工作及经费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659B9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企业运营能力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品牌荣誉</w:t>
            </w:r>
            <w:proofErr w:type="gramEnd"/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品牌口味；喜欢得6分；一般得3分；不喜欢得1分。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</w:p>
        </w:tc>
      </w:tr>
      <w:tr w:rsidR="00E659B9">
        <w:trPr>
          <w:trHeight w:val="79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E659B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服务商有相关行业的经验年限五年以上得6分，三年以上得4分，二年以下得2分，没有不得分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</w:p>
        </w:tc>
      </w:tr>
      <w:tr w:rsidR="00E659B9">
        <w:trPr>
          <w:trHeight w:val="74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E659B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获得省市级咖啡吧或相关行业的经营类相关荣誉的有一个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得基础</w:t>
            </w:r>
            <w:proofErr w:type="gramEnd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分为3分。有一项增加1分，最高得6分。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</w:p>
        </w:tc>
      </w:tr>
      <w:tr w:rsidR="00E659B9">
        <w:trPr>
          <w:trHeight w:val="58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企业管理能力及服务水平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具备及时专业地响应，受理等用户需求的能力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</w:p>
        </w:tc>
      </w:tr>
      <w:tr w:rsidR="00E659B9">
        <w:trPr>
          <w:trHeight w:val="85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具备及时反馈处理，顾客意见、投诉的能力以及不推诿、不回避的良好态度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</w:p>
        </w:tc>
      </w:tr>
      <w:tr w:rsidR="00E659B9">
        <w:trPr>
          <w:trHeight w:val="1008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9B9" w:rsidRDefault="00E659B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营业执照、从业人员健康证、食药监局卫生许可证、餐饮服务许可证、食品流通许可证等各类证件齐全的加分，不全的每项逐个扣分。</w:t>
            </w:r>
          </w:p>
          <w:p w:rsidR="00E659B9" w:rsidRDefault="00E659B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659B9">
        <w:trPr>
          <w:trHeight w:val="112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营业收入分成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对所有满足招标文件要求的服务商，提交的最低租金为销售额的18%，报价18%者得20分，报价19%-20%者得22分，报价20%以上者得25分。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25</w:t>
            </w:r>
          </w:p>
        </w:tc>
      </w:tr>
      <w:tr w:rsidR="00E659B9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合计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　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B9" w:rsidRDefault="00CC6ED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100</w:t>
            </w:r>
          </w:p>
        </w:tc>
      </w:tr>
    </w:tbl>
    <w:p w:rsidR="00E659B9" w:rsidRDefault="00E659B9">
      <w:pPr>
        <w:widowControl/>
        <w:jc w:val="left"/>
        <w:rPr>
          <w:rFonts w:asciiTheme="minorEastAsia" w:eastAsiaTheme="minorEastAsia" w:hAnsiTheme="minorEastAsia" w:cs="宋体"/>
          <w:snapToGrid/>
          <w:szCs w:val="21"/>
        </w:rPr>
      </w:pPr>
    </w:p>
    <w:sectPr w:rsidR="00E659B9" w:rsidSect="00E659B9">
      <w:pgSz w:w="11906" w:h="16838"/>
      <w:pgMar w:top="720" w:right="1287" w:bottom="720" w:left="18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3E" w:rsidRDefault="00813E3E" w:rsidP="00880513">
      <w:r>
        <w:separator/>
      </w:r>
    </w:p>
  </w:endnote>
  <w:endnote w:type="continuationSeparator" w:id="0">
    <w:p w:rsidR="00813E3E" w:rsidRDefault="00813E3E" w:rsidP="0088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3E" w:rsidRDefault="00813E3E" w:rsidP="00880513">
      <w:r>
        <w:separator/>
      </w:r>
    </w:p>
  </w:footnote>
  <w:footnote w:type="continuationSeparator" w:id="0">
    <w:p w:rsidR="00813E3E" w:rsidRDefault="00813E3E" w:rsidP="0088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169CD"/>
    <w:rsid w:val="002737EC"/>
    <w:rsid w:val="00813E3E"/>
    <w:rsid w:val="00880513"/>
    <w:rsid w:val="00CC6ED9"/>
    <w:rsid w:val="00E659B9"/>
    <w:rsid w:val="00F135B3"/>
    <w:rsid w:val="0EAC467A"/>
    <w:rsid w:val="141169CD"/>
    <w:rsid w:val="18615364"/>
    <w:rsid w:val="1A495ECC"/>
    <w:rsid w:val="1ED5283C"/>
    <w:rsid w:val="38815B5E"/>
    <w:rsid w:val="3BAF3C15"/>
    <w:rsid w:val="46112099"/>
    <w:rsid w:val="5B4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9B9"/>
    <w:pPr>
      <w:widowControl w:val="0"/>
      <w:jc w:val="both"/>
    </w:pPr>
    <w:rPr>
      <w:rFonts w:ascii="华文楷体" w:eastAsia="华文楷体" w:hAnsi="华文楷体" w:cs="Times New Roman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9B9"/>
    <w:pPr>
      <w:spacing w:beforeAutospacing="1" w:afterAutospacing="1"/>
      <w:jc w:val="left"/>
    </w:pPr>
    <w:rPr>
      <w:sz w:val="24"/>
    </w:rPr>
  </w:style>
  <w:style w:type="paragraph" w:styleId="a4">
    <w:name w:val="header"/>
    <w:basedOn w:val="a"/>
    <w:link w:val="Char"/>
    <w:rsid w:val="0088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0513"/>
    <w:rPr>
      <w:rFonts w:ascii="华文楷体" w:eastAsia="华文楷体" w:hAnsi="华文楷体" w:cs="Times New Roman"/>
      <w:snapToGrid w:val="0"/>
      <w:sz w:val="18"/>
      <w:szCs w:val="18"/>
    </w:rPr>
  </w:style>
  <w:style w:type="paragraph" w:styleId="a5">
    <w:name w:val="footer"/>
    <w:basedOn w:val="a"/>
    <w:link w:val="Char0"/>
    <w:rsid w:val="0088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0513"/>
    <w:rPr>
      <w:rFonts w:ascii="华文楷体" w:eastAsia="华文楷体" w:hAnsi="华文楷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卞伟民</cp:lastModifiedBy>
  <cp:revision>4</cp:revision>
  <cp:lastPrinted>2022-02-23T01:29:00Z</cp:lastPrinted>
  <dcterms:created xsi:type="dcterms:W3CDTF">2022-02-17T01:57:00Z</dcterms:created>
  <dcterms:modified xsi:type="dcterms:W3CDTF">2022-03-08T05:57:00Z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967F027EF64F45CBA2D2298C79435A68</vt:lpwstr>
  </property>
</Properties>
</file>